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仿宋_GB2312" w:eastAsia="仿宋_GB2312" w:cs="仿宋_GB2312"/>
          <w:sz w:val="32"/>
          <w:szCs w:val="32"/>
        </w:rPr>
      </w:pPr>
      <w:bookmarkStart w:id="0" w:name="_Toc70450289"/>
    </w:p>
    <w:p>
      <w:pPr>
        <w:rPr>
          <w:rFonts w:ascii="仿宋_GB2312" w:hAnsi="仿宋_GB2312" w:eastAsia="仿宋_GB2312" w:cs="仿宋_GB2312"/>
          <w:sz w:val="32"/>
          <w:szCs w:val="32"/>
        </w:rPr>
      </w:pPr>
    </w:p>
    <w:p>
      <w:pPr>
        <w:rPr>
          <w:rFonts w:ascii="仿宋_GB2312" w:hAnsi="仿宋_GB2312" w:eastAsia="仿宋_GB2312" w:cs="仿宋_GB2312"/>
          <w:sz w:val="32"/>
          <w:szCs w:val="32"/>
        </w:rPr>
      </w:pPr>
    </w:p>
    <w:p>
      <w:pPr>
        <w:rPr>
          <w:rFonts w:ascii="仿宋_GB2312" w:hAnsi="仿宋_GB2312" w:eastAsia="仿宋_GB2312" w:cs="仿宋_GB2312"/>
          <w:b/>
          <w:bCs/>
          <w:sz w:val="44"/>
          <w:szCs w:val="44"/>
        </w:rPr>
      </w:pPr>
    </w:p>
    <w:p>
      <w:pPr>
        <w:spacing w:line="540" w:lineRule="exact"/>
        <w:jc w:val="center"/>
        <w:rPr>
          <w:rFonts w:ascii="华文中宋" w:hAnsi="华文中宋" w:eastAsia="华文中宋" w:cs="宋体"/>
          <w:b/>
          <w:kern w:val="0"/>
          <w:sz w:val="52"/>
          <w:szCs w:val="52"/>
        </w:rPr>
      </w:pPr>
      <w:r>
        <w:rPr>
          <w:rFonts w:ascii="华文中宋" w:hAnsi="华文中宋" w:eastAsia="华文中宋" w:cs="宋体"/>
          <w:b/>
          <w:kern w:val="0"/>
          <w:sz w:val="52"/>
          <w:szCs w:val="52"/>
        </w:rPr>
        <w:t>特克斯县人力资源和社会保障局</w:t>
      </w:r>
      <w:r>
        <w:rPr>
          <w:rFonts w:hint="eastAsia" w:ascii="华文中宋" w:hAnsi="华文中宋" w:eastAsia="华文中宋" w:cs="宋体"/>
          <w:b/>
          <w:kern w:val="0"/>
          <w:sz w:val="52"/>
          <w:szCs w:val="52"/>
        </w:rPr>
        <w:t>部门单位整体支出绩效自评报告</w:t>
      </w:r>
    </w:p>
    <w:p>
      <w:pPr>
        <w:rPr>
          <w:rFonts w:ascii="仿宋_GB2312" w:hAnsi="仿宋_GB2312" w:eastAsia="仿宋_GB2312" w:cs="仿宋_GB2312"/>
          <w:b/>
          <w:bCs/>
          <w:sz w:val="44"/>
          <w:szCs w:val="44"/>
        </w:rPr>
      </w:pPr>
      <w:r>
        <w:rPr>
          <w:rFonts w:hint="eastAsia" w:ascii="仿宋_GB2312" w:hAnsi="仿宋_GB2312" w:eastAsia="仿宋_GB2312" w:cs="仿宋_GB2312"/>
          <w:b/>
          <w:bCs/>
          <w:sz w:val="44"/>
          <w:szCs w:val="44"/>
        </w:rPr>
        <w:t xml:space="preserve">              </w:t>
      </w:r>
    </w:p>
    <w:p>
      <w:pPr>
        <w:widowControl/>
        <w:ind w:firstLine="2200"/>
        <w:jc w:val="left"/>
        <w:rPr>
          <w:rFonts w:ascii="仿宋_GB2312" w:hAnsi="仿宋_GB2312" w:eastAsia="仿宋_GB2312" w:cs="仿宋_GB2312"/>
          <w:b/>
          <w:bCs/>
          <w:sz w:val="44"/>
          <w:szCs w:val="44"/>
        </w:rPr>
      </w:pPr>
      <w:r>
        <w:rPr>
          <w:rFonts w:hint="eastAsia" w:ascii="仿宋_GB2312" w:hAnsi="仿宋_GB2312" w:eastAsia="仿宋_GB2312" w:cs="仿宋_GB2312"/>
          <w:b/>
          <w:bCs/>
          <w:sz w:val="44"/>
          <w:szCs w:val="44"/>
        </w:rPr>
        <w:t xml:space="preserve"> （</w:t>
      </w:r>
      <w:r>
        <w:rPr>
          <w:rFonts w:ascii="仿宋_GB2312" w:hAnsi="仿宋_GB2312" w:eastAsia="仿宋_GB2312" w:cs="仿宋_GB2312"/>
          <w:b/>
          <w:bCs/>
          <w:sz w:val="44"/>
          <w:szCs w:val="44"/>
        </w:rPr>
        <w:t>202</w:t>
      </w:r>
      <w:r>
        <w:rPr>
          <w:rFonts w:hint="eastAsia" w:ascii="仿宋_GB2312" w:hAnsi="仿宋_GB2312" w:eastAsia="仿宋_GB2312" w:cs="仿宋_GB2312"/>
          <w:b/>
          <w:bCs/>
          <w:sz w:val="44"/>
          <w:szCs w:val="44"/>
          <w:lang w:val="en-US" w:eastAsia="zh-CN"/>
        </w:rPr>
        <w:t>1</w:t>
      </w:r>
      <w:r>
        <w:rPr>
          <w:rFonts w:hint="eastAsia" w:ascii="仿宋_GB2312" w:hAnsi="仿宋_GB2312" w:eastAsia="仿宋_GB2312" w:cs="仿宋_GB2312"/>
          <w:b/>
          <w:bCs/>
          <w:sz w:val="44"/>
          <w:szCs w:val="44"/>
        </w:rPr>
        <w:t>年度）</w:t>
      </w:r>
    </w:p>
    <w:p>
      <w:pPr>
        <w:rPr>
          <w:rFonts w:ascii="仿宋_GB2312" w:hAnsi="仿宋_GB2312" w:eastAsia="仿宋_GB2312" w:cs="仿宋_GB2312"/>
          <w:b/>
          <w:bCs/>
          <w:sz w:val="44"/>
          <w:szCs w:val="44"/>
        </w:rPr>
      </w:pPr>
      <w:r>
        <w:rPr>
          <w:rFonts w:hint="eastAsia" w:ascii="仿宋_GB2312" w:hAnsi="仿宋_GB2312" w:eastAsia="仿宋_GB2312" w:cs="仿宋_GB2312"/>
          <w:b/>
          <w:bCs/>
          <w:sz w:val="44"/>
          <w:szCs w:val="44"/>
        </w:rPr>
        <w:t xml:space="preserve">            </w:t>
      </w:r>
    </w:p>
    <w:p>
      <w:pPr>
        <w:rPr>
          <w:rFonts w:ascii="仿宋_GB2312" w:hAnsi="仿宋_GB2312" w:eastAsia="仿宋_GB2312" w:cs="仿宋_GB2312"/>
          <w:b/>
          <w:bCs/>
          <w:sz w:val="44"/>
          <w:szCs w:val="44"/>
        </w:rPr>
      </w:pPr>
    </w:p>
    <w:p>
      <w:pPr>
        <w:rPr>
          <w:rFonts w:ascii="仿宋_GB2312" w:hAnsi="仿宋_GB2312" w:eastAsia="仿宋_GB2312" w:cs="仿宋_GB2312"/>
          <w:b/>
          <w:bCs/>
          <w:sz w:val="44"/>
          <w:szCs w:val="44"/>
        </w:rPr>
      </w:pPr>
    </w:p>
    <w:p>
      <w:pPr>
        <w:rPr>
          <w:rFonts w:ascii="仿宋_GB2312" w:hAnsi="仿宋_GB2312" w:eastAsia="仿宋_GB2312" w:cs="仿宋_GB2312"/>
          <w:b/>
          <w:bCs/>
          <w:sz w:val="44"/>
          <w:szCs w:val="44"/>
        </w:rPr>
      </w:pPr>
    </w:p>
    <w:p>
      <w:pPr>
        <w:rPr>
          <w:rFonts w:ascii="仿宋_GB2312" w:hAnsi="仿宋_GB2312" w:eastAsia="仿宋_GB2312" w:cs="仿宋_GB2312"/>
          <w:b/>
          <w:bCs/>
          <w:sz w:val="44"/>
          <w:szCs w:val="44"/>
        </w:rPr>
      </w:pPr>
    </w:p>
    <w:p>
      <w:pPr>
        <w:rPr>
          <w:rFonts w:ascii="仿宋_GB2312" w:hAnsi="仿宋_GB2312" w:eastAsia="仿宋_GB2312" w:cs="仿宋_GB2312"/>
          <w:b/>
          <w:bCs/>
          <w:sz w:val="44"/>
          <w:szCs w:val="44"/>
        </w:rPr>
      </w:pP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部门单位名称（公章）：特克斯县人力资源和社会保障局</w:t>
      </w:r>
    </w:p>
    <w:p>
      <w:pPr>
        <w:rPr>
          <w:rFonts w:ascii="仿宋_GB2312" w:hAnsi="仿宋_GB2312" w:eastAsia="仿宋_GB2312" w:cs="仿宋_GB2312"/>
          <w:b/>
          <w:bCs/>
          <w:sz w:val="44"/>
          <w:szCs w:val="44"/>
        </w:rPr>
      </w:pPr>
    </w:p>
    <w:p>
      <w:pPr>
        <w:rPr>
          <w:rFonts w:ascii="仿宋_GB2312" w:hAnsi="仿宋_GB2312" w:eastAsia="仿宋_GB2312" w:cs="仿宋_GB2312"/>
          <w:b/>
          <w:bCs/>
          <w:sz w:val="44"/>
          <w:szCs w:val="44"/>
        </w:rPr>
      </w:pP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填报时间：2021年04月28日</w:t>
      </w:r>
    </w:p>
    <w:p>
      <w:pPr>
        <w:pStyle w:val="7"/>
        <w:spacing w:line="360" w:lineRule="auto"/>
        <w:rPr>
          <w:rFonts w:ascii="仿宋" w:hAnsi="仿宋" w:eastAsia="仿宋"/>
          <w:sz w:val="36"/>
          <w:szCs w:val="36"/>
        </w:rPr>
      </w:pPr>
      <w:r>
        <w:rPr>
          <w:rFonts w:hint="eastAsia" w:ascii="仿宋" w:hAnsi="仿宋" w:eastAsia="仿宋"/>
          <w:sz w:val="36"/>
          <w:szCs w:val="36"/>
        </w:rPr>
        <w:t>一、基本概况</w:t>
      </w:r>
      <w:bookmarkEnd w:id="0"/>
    </w:p>
    <w:p>
      <w:pPr>
        <w:pStyle w:val="4"/>
        <w:spacing w:line="360" w:lineRule="auto"/>
        <w:rPr>
          <w:rStyle w:val="18"/>
          <w:rFonts w:ascii="仿宋" w:hAnsi="仿宋" w:eastAsia="仿宋"/>
          <w:b/>
          <w:bCs/>
        </w:rPr>
      </w:pPr>
      <w:bookmarkStart w:id="1" w:name="_Toc70450290"/>
      <w:r>
        <w:rPr>
          <w:rStyle w:val="18"/>
          <w:rFonts w:hint="eastAsia" w:ascii="仿宋" w:hAnsi="仿宋" w:eastAsia="仿宋"/>
          <w:b/>
          <w:bCs/>
        </w:rPr>
        <w:t>（一）部门单位基本情况</w:t>
      </w:r>
      <w:bookmarkEnd w:id="1"/>
    </w:p>
    <w:p>
      <w:pPr>
        <w:pStyle w:val="2"/>
        <w:numPr>
          <w:ilvl w:val="2"/>
          <w:numId w:val="0"/>
        </w:numPr>
        <w:spacing w:line="360" w:lineRule="auto"/>
        <w:ind w:leftChars="200"/>
        <w:rPr>
          <w:rStyle w:val="18"/>
          <w:rFonts w:ascii="仿宋" w:hAnsi="仿宋" w:eastAsia="仿宋"/>
          <w:b/>
          <w:bCs/>
        </w:rPr>
      </w:pPr>
      <w:bookmarkStart w:id="2" w:name="_Toc70450291"/>
      <w:r>
        <w:rPr>
          <w:rStyle w:val="18"/>
          <w:rFonts w:ascii="仿宋" w:hAnsi="仿宋" w:eastAsia="仿宋"/>
          <w:b/>
          <w:bCs/>
        </w:rPr>
        <w:t>1</w:t>
      </w:r>
      <w:r>
        <w:rPr>
          <w:rStyle w:val="18"/>
          <w:rFonts w:hint="eastAsia" w:ascii="仿宋" w:hAnsi="仿宋" w:eastAsia="仿宋"/>
          <w:b/>
          <w:bCs/>
        </w:rPr>
        <w:t>、主要职能</w:t>
      </w:r>
      <w:bookmarkEnd w:id="2"/>
    </w:p>
    <w:p>
      <w:pPr>
        <w:spacing w:line="360" w:lineRule="auto"/>
        <w:ind w:firstLine="544" w:firstLineChars="200"/>
        <w:rPr>
          <w:rStyle w:val="18"/>
          <w:rFonts w:hint="eastAsia" w:ascii="仿宋_GB2312" w:hAnsi="楷体" w:eastAsia="仿宋_GB2312" w:cs="Times New Roman"/>
          <w:b w:val="0"/>
          <w:spacing w:val="-4"/>
          <w:sz w:val="28"/>
          <w:szCs w:val="28"/>
        </w:rPr>
      </w:pPr>
      <w:r>
        <w:rPr>
          <w:rStyle w:val="18"/>
          <w:rFonts w:hint="eastAsia" w:ascii="仿宋_GB2312" w:hAnsi="楷体" w:eastAsia="仿宋_GB2312" w:cs="Times New Roman"/>
          <w:b w:val="0"/>
          <w:spacing w:val="-4"/>
          <w:sz w:val="28"/>
          <w:szCs w:val="28"/>
        </w:rPr>
        <w:t xml:space="preserve">  （一）贯彻执行国家、自治区、自治州有关人力资源和社会保障工作的方针政策、政策法规；拟订全县人力资源和社会保障事业发展规划并组织实施；对全县人力资源和社会保障工作进行综合管理、监督指导和协调服务。</w:t>
      </w:r>
    </w:p>
    <w:p>
      <w:pPr>
        <w:spacing w:line="360" w:lineRule="auto"/>
        <w:ind w:firstLine="544" w:firstLineChars="200"/>
        <w:rPr>
          <w:rStyle w:val="18"/>
          <w:rFonts w:hint="eastAsia" w:ascii="仿宋_GB2312" w:hAnsi="楷体" w:eastAsia="仿宋_GB2312" w:cs="Times New Roman"/>
          <w:b w:val="0"/>
          <w:spacing w:val="-4"/>
          <w:sz w:val="28"/>
          <w:szCs w:val="28"/>
        </w:rPr>
      </w:pPr>
      <w:r>
        <w:rPr>
          <w:rStyle w:val="18"/>
          <w:rFonts w:hint="eastAsia" w:ascii="仿宋_GB2312" w:hAnsi="楷体" w:eastAsia="仿宋_GB2312" w:cs="Times New Roman"/>
          <w:b w:val="0"/>
          <w:spacing w:val="-4"/>
          <w:sz w:val="28"/>
          <w:szCs w:val="28"/>
        </w:rPr>
        <w:t>(二）组织实施人力资源市场发展规划和人力资源流动政策，指导监督人力资源服务机构，促进人力资源合理流动、有效配置。</w:t>
      </w:r>
    </w:p>
    <w:p>
      <w:pPr>
        <w:spacing w:line="360" w:lineRule="auto"/>
        <w:ind w:firstLine="544" w:firstLineChars="200"/>
        <w:rPr>
          <w:rStyle w:val="18"/>
          <w:rFonts w:hint="eastAsia" w:ascii="仿宋_GB2312" w:hAnsi="楷体" w:eastAsia="仿宋_GB2312" w:cs="Times New Roman"/>
          <w:b w:val="0"/>
          <w:spacing w:val="-4"/>
          <w:sz w:val="28"/>
          <w:szCs w:val="28"/>
        </w:rPr>
      </w:pPr>
      <w:r>
        <w:rPr>
          <w:rStyle w:val="18"/>
          <w:rFonts w:hint="eastAsia" w:ascii="仿宋_GB2312" w:hAnsi="楷体" w:eastAsia="仿宋_GB2312" w:cs="Times New Roman"/>
          <w:b w:val="0"/>
          <w:spacing w:val="-4"/>
          <w:sz w:val="28"/>
          <w:szCs w:val="28"/>
        </w:rPr>
        <w:t>(三)负责促进就业工作，拟订统筹城乡的全县就业发展规划和政策，完善公共就业服务体系，组织落实就业援助制度；落实职业资格制度相关政策，统筹建立面向城乡劳动者的职业培训制度；牵头组织实施高校毕业生就业政策，会同有关部门拟定高技能人才，农村实用人才培训和激励政策。</w:t>
      </w:r>
    </w:p>
    <w:p>
      <w:pPr>
        <w:spacing w:line="360" w:lineRule="auto"/>
        <w:ind w:firstLine="544" w:firstLineChars="200"/>
        <w:rPr>
          <w:rStyle w:val="18"/>
          <w:rFonts w:hint="eastAsia" w:ascii="仿宋_GB2312" w:hAnsi="楷体" w:eastAsia="仿宋_GB2312" w:cs="Times New Roman"/>
          <w:b w:val="0"/>
          <w:spacing w:val="-4"/>
          <w:sz w:val="28"/>
          <w:szCs w:val="28"/>
        </w:rPr>
      </w:pPr>
      <w:r>
        <w:rPr>
          <w:rStyle w:val="18"/>
          <w:rFonts w:hint="eastAsia" w:ascii="仿宋_GB2312" w:hAnsi="楷体" w:eastAsia="仿宋_GB2312" w:cs="Times New Roman"/>
          <w:b w:val="0"/>
          <w:spacing w:val="-4"/>
          <w:sz w:val="28"/>
          <w:szCs w:val="28"/>
        </w:rPr>
        <w:t>(四)统筹建立覆盖城乡的社会保障体系。拟订并组织城乡社会保险及其补充保险政策和标准。统筹拟订机关企事业单位基本养老保险政策。会同有关部门拟订社会保险及其补充保险基金管理和监督办法，编制社会保险基金预决算草案。</w:t>
      </w:r>
    </w:p>
    <w:p>
      <w:pPr>
        <w:spacing w:line="360" w:lineRule="auto"/>
        <w:ind w:firstLine="544" w:firstLineChars="200"/>
        <w:rPr>
          <w:rStyle w:val="18"/>
          <w:rFonts w:hint="eastAsia" w:ascii="仿宋_GB2312" w:hAnsi="楷体" w:eastAsia="仿宋_GB2312" w:cs="Times New Roman"/>
          <w:b w:val="0"/>
          <w:spacing w:val="-4"/>
          <w:sz w:val="28"/>
          <w:szCs w:val="28"/>
        </w:rPr>
      </w:pPr>
      <w:r>
        <w:rPr>
          <w:rStyle w:val="18"/>
          <w:rFonts w:hint="eastAsia" w:ascii="仿宋_GB2312" w:hAnsi="楷体" w:eastAsia="仿宋_GB2312" w:cs="Times New Roman"/>
          <w:b w:val="0"/>
          <w:spacing w:val="-4"/>
          <w:sz w:val="28"/>
          <w:szCs w:val="28"/>
        </w:rPr>
        <w:t>(五）负责就业、失业、社会保险基金预测预警和信息引导，拟订应对预案，实施预防、调节和控制，保持就业形势稳定和社会保险基金总体收支平衡。</w:t>
      </w:r>
    </w:p>
    <w:p>
      <w:pPr>
        <w:spacing w:line="360" w:lineRule="auto"/>
        <w:ind w:firstLine="544" w:firstLineChars="200"/>
        <w:rPr>
          <w:rStyle w:val="18"/>
          <w:rFonts w:hint="eastAsia" w:ascii="仿宋_GB2312" w:hAnsi="楷体" w:eastAsia="仿宋_GB2312" w:cs="Times New Roman"/>
          <w:b w:val="0"/>
          <w:spacing w:val="-4"/>
          <w:sz w:val="28"/>
          <w:szCs w:val="28"/>
        </w:rPr>
      </w:pPr>
      <w:r>
        <w:rPr>
          <w:rStyle w:val="18"/>
          <w:rFonts w:hint="eastAsia" w:ascii="仿宋_GB2312" w:hAnsi="楷体" w:eastAsia="仿宋_GB2312" w:cs="Times New Roman"/>
          <w:b w:val="0"/>
          <w:spacing w:val="-4"/>
          <w:sz w:val="28"/>
          <w:szCs w:val="28"/>
        </w:rPr>
        <w:t>（六）会同有关部门拟订企业事业单位人员工资收入分配制度改革实施意见，促进建立企事业单位人员工资正常增长和支付保障机制。执行自治区机关企事业单位人员福利和离退休政策。</w:t>
      </w:r>
    </w:p>
    <w:p>
      <w:pPr>
        <w:spacing w:line="360" w:lineRule="auto"/>
        <w:ind w:firstLine="544" w:firstLineChars="200"/>
        <w:rPr>
          <w:rStyle w:val="18"/>
          <w:rFonts w:hint="eastAsia" w:ascii="仿宋_GB2312" w:hAnsi="楷体" w:eastAsia="仿宋_GB2312" w:cs="Times New Roman"/>
          <w:b w:val="0"/>
          <w:spacing w:val="-4"/>
          <w:sz w:val="28"/>
          <w:szCs w:val="28"/>
        </w:rPr>
      </w:pPr>
      <w:r>
        <w:rPr>
          <w:rStyle w:val="18"/>
          <w:rFonts w:hint="eastAsia" w:ascii="仿宋_GB2312" w:hAnsi="楷体" w:eastAsia="仿宋_GB2312" w:cs="Times New Roman"/>
          <w:b w:val="0"/>
          <w:spacing w:val="-4"/>
          <w:sz w:val="28"/>
          <w:szCs w:val="28"/>
        </w:rPr>
        <w:t>(七）会同有关部门指导事业单位人事制度改革，落实事业单位人员和机关工勤人员管理政策，参与人才管理工作，落实专业技术人员管理和继续教育政策。推进深化职称制度改革工作。负责专业技术人才选拔、培养和博士后管理工作，贯彻落实自治区国（境）外专家、留学人员来疆（回疆）工作和定居政策。会同相关部门做好高层次人才和紧缺人才引进工作。</w:t>
      </w:r>
    </w:p>
    <w:p>
      <w:pPr>
        <w:spacing w:line="360" w:lineRule="auto"/>
        <w:ind w:firstLine="544" w:firstLineChars="200"/>
        <w:rPr>
          <w:rStyle w:val="18"/>
          <w:rFonts w:hint="eastAsia" w:ascii="仿宋_GB2312" w:hAnsi="楷体" w:eastAsia="仿宋_GB2312" w:cs="Times New Roman"/>
          <w:b w:val="0"/>
          <w:spacing w:val="-4"/>
          <w:sz w:val="28"/>
          <w:szCs w:val="28"/>
        </w:rPr>
      </w:pPr>
      <w:r>
        <w:rPr>
          <w:rStyle w:val="18"/>
          <w:rFonts w:hint="eastAsia" w:ascii="仿宋_GB2312" w:hAnsi="楷体" w:eastAsia="仿宋_GB2312" w:cs="Times New Roman"/>
          <w:b w:val="0"/>
          <w:spacing w:val="-4"/>
          <w:sz w:val="28"/>
          <w:szCs w:val="28"/>
        </w:rPr>
        <w:t>(八）会同有关部门落实自治区农民工工作综合性政策和规划，协调解决重点难点问题，维护农民工合法权益。</w:t>
      </w:r>
    </w:p>
    <w:p>
      <w:pPr>
        <w:spacing w:line="360" w:lineRule="auto"/>
        <w:ind w:firstLine="544" w:firstLineChars="200"/>
        <w:rPr>
          <w:rStyle w:val="18"/>
          <w:rFonts w:hint="eastAsia" w:ascii="仿宋_GB2312" w:hAnsi="楷体" w:eastAsia="仿宋_GB2312" w:cs="Times New Roman"/>
          <w:b w:val="0"/>
          <w:spacing w:val="-4"/>
          <w:sz w:val="28"/>
          <w:szCs w:val="28"/>
        </w:rPr>
      </w:pPr>
      <w:r>
        <w:rPr>
          <w:rStyle w:val="18"/>
          <w:rFonts w:hint="eastAsia" w:ascii="仿宋_GB2312" w:hAnsi="楷体" w:eastAsia="仿宋_GB2312" w:cs="Times New Roman"/>
          <w:b w:val="0"/>
          <w:spacing w:val="-4"/>
          <w:sz w:val="28"/>
          <w:szCs w:val="28"/>
        </w:rPr>
        <w:t>(九）受理全县人力资源和社会保障方面信访事项；会同有关部门协调处理有关劳动、人事方面的重大信访事件或突发事件。</w:t>
      </w:r>
    </w:p>
    <w:p>
      <w:pPr>
        <w:spacing w:line="360" w:lineRule="auto"/>
        <w:ind w:firstLine="544" w:firstLineChars="200"/>
        <w:rPr>
          <w:rStyle w:val="18"/>
          <w:rFonts w:hint="eastAsia" w:ascii="仿宋_GB2312" w:hAnsi="楷体" w:eastAsia="仿宋_GB2312" w:cs="Times New Roman"/>
          <w:b w:val="0"/>
          <w:spacing w:val="-4"/>
          <w:sz w:val="28"/>
          <w:szCs w:val="28"/>
        </w:rPr>
      </w:pPr>
      <w:r>
        <w:rPr>
          <w:rStyle w:val="18"/>
          <w:rFonts w:hint="eastAsia" w:ascii="仿宋_GB2312" w:hAnsi="楷体" w:eastAsia="仿宋_GB2312" w:cs="Times New Roman"/>
          <w:b w:val="0"/>
          <w:spacing w:val="-4"/>
          <w:sz w:val="28"/>
          <w:szCs w:val="28"/>
        </w:rPr>
        <w:t>（十）统筹实施劳动、人事争议调解仲裁制度。贯彻落实劳动关系政策，完善劳动关系协调机制。监督落实消除非法使用童工政策和女工、未成年工的特殊劳动保护政策。组织实施劳动监察，协调劳动者维权工作，依法查处重大案件。</w:t>
      </w:r>
    </w:p>
    <w:p>
      <w:pPr>
        <w:spacing w:line="360" w:lineRule="auto"/>
        <w:ind w:firstLine="544" w:firstLineChars="200"/>
        <w:rPr>
          <w:rStyle w:val="18"/>
          <w:rFonts w:hint="eastAsia" w:ascii="仿宋_GB2312" w:hAnsi="楷体" w:eastAsia="仿宋_GB2312" w:cs="Times New Roman"/>
          <w:b w:val="0"/>
          <w:spacing w:val="-4"/>
          <w:sz w:val="28"/>
          <w:szCs w:val="28"/>
        </w:rPr>
      </w:pPr>
      <w:r>
        <w:rPr>
          <w:rStyle w:val="18"/>
          <w:rFonts w:hint="eastAsia" w:ascii="仿宋_GB2312" w:hAnsi="楷体" w:eastAsia="仿宋_GB2312" w:cs="Times New Roman"/>
          <w:b w:val="0"/>
          <w:spacing w:val="-4"/>
          <w:sz w:val="28"/>
          <w:szCs w:val="28"/>
        </w:rPr>
        <w:t>（十一）承办县委、政府交办的其他事项。</w:t>
      </w:r>
    </w:p>
    <w:p>
      <w:pPr>
        <w:pStyle w:val="2"/>
        <w:numPr>
          <w:ilvl w:val="2"/>
          <w:numId w:val="0"/>
        </w:numPr>
        <w:spacing w:line="360" w:lineRule="auto"/>
        <w:ind w:leftChars="200"/>
        <w:rPr>
          <w:rStyle w:val="18"/>
          <w:rFonts w:ascii="仿宋" w:hAnsi="仿宋" w:eastAsia="仿宋"/>
          <w:b/>
          <w:bCs/>
        </w:rPr>
      </w:pPr>
      <w:bookmarkStart w:id="3" w:name="_Toc70450292"/>
      <w:r>
        <w:rPr>
          <w:rStyle w:val="18"/>
          <w:rFonts w:hint="eastAsia" w:ascii="仿宋" w:hAnsi="仿宋" w:eastAsia="仿宋"/>
          <w:b/>
          <w:bCs/>
        </w:rPr>
        <w:t>2、机构人员构成</w:t>
      </w:r>
      <w:bookmarkEnd w:id="3"/>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（1）组织机构设置：</w:t>
      </w:r>
    </w:p>
    <w:p>
      <w:pPr>
        <w:rPr>
          <w:rStyle w:val="18"/>
          <w:rFonts w:hint="eastAsia" w:ascii="仿宋_GB2312" w:hAnsi="楷体" w:eastAsia="仿宋_GB2312" w:cs="Times New Roman"/>
          <w:b w:val="0"/>
          <w:spacing w:val="-4"/>
          <w:sz w:val="28"/>
          <w:szCs w:val="28"/>
        </w:rPr>
      </w:pPr>
      <w:r>
        <w:rPr>
          <w:rStyle w:val="18"/>
          <w:rFonts w:hint="eastAsia" w:ascii="仿宋_GB2312" w:hAnsi="楷体" w:eastAsia="仿宋_GB2312"/>
          <w:b w:val="0"/>
          <w:spacing w:val="-4"/>
          <w:sz w:val="28"/>
          <w:szCs w:val="28"/>
        </w:rPr>
        <w:t>特</w:t>
      </w:r>
      <w:r>
        <w:rPr>
          <w:rStyle w:val="18"/>
          <w:rFonts w:ascii="仿宋_GB2312" w:hAnsi="楷体" w:eastAsia="仿宋_GB2312"/>
          <w:b w:val="0"/>
          <w:spacing w:val="-4"/>
          <w:sz w:val="28"/>
          <w:szCs w:val="28"/>
        </w:rPr>
        <w:t>克斯县人力资源和社会保障局</w:t>
      </w:r>
      <w:r>
        <w:rPr>
          <w:rStyle w:val="18"/>
          <w:rFonts w:hint="eastAsia" w:ascii="仿宋_GB2312" w:hAnsi="楷体" w:eastAsia="仿宋_GB2312"/>
          <w:b w:val="0"/>
          <w:spacing w:val="-4"/>
          <w:sz w:val="28"/>
          <w:szCs w:val="28"/>
        </w:rPr>
        <w:t>无下属预算单位，下设11个处室，分</w:t>
      </w:r>
      <w:r>
        <w:rPr>
          <w:rStyle w:val="18"/>
          <w:rFonts w:hint="eastAsia" w:ascii="仿宋_GB2312" w:hAnsi="楷体" w:eastAsia="仿宋_GB2312" w:cs="Times New Roman"/>
          <w:b w:val="0"/>
          <w:spacing w:val="-4"/>
          <w:sz w:val="28"/>
          <w:szCs w:val="28"/>
        </w:rPr>
        <w:t>别是：特克斯县职业教育培训中心、特克斯县劳动人事争议仲裁院、特克斯县农业富余劳动力转移办公室、特克斯县小额贷款担保中心、特克斯县职业技能鉴定所、特克斯县就业开发办公室、特克斯县劳动监察大队（参公）、社保征缴科、养老保险待遇支付科、稽核审计统计科、基金财务科。</w:t>
      </w:r>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（2）2021年</w:t>
      </w:r>
      <w:r>
        <w:rPr>
          <w:rStyle w:val="18"/>
          <w:rFonts w:hint="eastAsia" w:ascii="仿宋_GB2312" w:hAnsi="楷体" w:eastAsia="仿宋_GB2312" w:cs="Times New Roman"/>
          <w:b w:val="0"/>
          <w:spacing w:val="-4"/>
          <w:sz w:val="28"/>
          <w:szCs w:val="28"/>
        </w:rPr>
        <w:t>特克斯县人力资源和社会保障局</w:t>
      </w:r>
      <w:r>
        <w:rPr>
          <w:rStyle w:val="18"/>
          <w:rFonts w:hint="eastAsia" w:ascii="仿宋_GB2312" w:hAnsi="楷体" w:eastAsia="仿宋_GB2312"/>
          <w:b w:val="0"/>
          <w:spacing w:val="-4"/>
          <w:sz w:val="28"/>
          <w:szCs w:val="28"/>
        </w:rPr>
        <w:t xml:space="preserve">实有在职人员为 </w:t>
      </w:r>
      <w:r>
        <w:rPr>
          <w:rStyle w:val="18"/>
          <w:rFonts w:ascii="仿宋_GB2312" w:hAnsi="楷体" w:eastAsia="仿宋_GB2312"/>
          <w:b w:val="0"/>
          <w:spacing w:val="-4"/>
          <w:sz w:val="28"/>
          <w:szCs w:val="28"/>
        </w:rPr>
        <w:t xml:space="preserve">  </w:t>
      </w:r>
      <w:r>
        <w:rPr>
          <w:rStyle w:val="18"/>
          <w:rFonts w:hint="eastAsia" w:ascii="仿宋_GB2312" w:hAnsi="楷体" w:eastAsia="仿宋_GB2312"/>
          <w:b w:val="0"/>
          <w:spacing w:val="-4"/>
          <w:sz w:val="28"/>
          <w:szCs w:val="28"/>
        </w:rPr>
        <w:t>42人，其中：</w:t>
      </w:r>
    </w:p>
    <w:p>
      <w:pPr>
        <w:spacing w:line="360" w:lineRule="auto"/>
        <w:ind w:firstLine="544" w:firstLineChars="200"/>
        <w:rPr>
          <w:rStyle w:val="18"/>
          <w:rFonts w:hint="eastAsia" w:ascii="仿宋_GB2312" w:hAnsi="楷体" w:eastAsia="仿宋_GB2312"/>
          <w:b w:val="0"/>
          <w:spacing w:val="-4"/>
          <w:sz w:val="28"/>
          <w:szCs w:val="28"/>
        </w:rPr>
      </w:pPr>
      <w:r>
        <w:rPr>
          <w:rStyle w:val="18"/>
          <w:rFonts w:hint="eastAsia" w:ascii="仿宋_GB2312" w:hAnsi="楷体" w:eastAsia="仿宋_GB2312"/>
          <w:b w:val="0"/>
          <w:spacing w:val="-4"/>
          <w:sz w:val="28"/>
          <w:szCs w:val="28"/>
        </w:rPr>
        <w:t>行政在职23人（上年23人），同比上年与上年一致；</w:t>
      </w:r>
    </w:p>
    <w:p>
      <w:pPr>
        <w:spacing w:line="360" w:lineRule="auto"/>
        <w:ind w:firstLine="544" w:firstLineChars="200"/>
        <w:rPr>
          <w:rStyle w:val="18"/>
          <w:rFonts w:hint="eastAsia" w:ascii="仿宋_GB2312" w:hAnsi="楷体" w:eastAsia="仿宋_GB2312"/>
          <w:b w:val="0"/>
          <w:spacing w:val="-4"/>
          <w:sz w:val="28"/>
          <w:szCs w:val="28"/>
          <w:lang w:val="en-US" w:eastAsia="zh-CN"/>
        </w:rPr>
      </w:pPr>
      <w:r>
        <w:rPr>
          <w:rStyle w:val="18"/>
          <w:rFonts w:hint="eastAsia" w:ascii="仿宋_GB2312" w:hAnsi="楷体" w:eastAsia="仿宋_GB2312"/>
          <w:b w:val="0"/>
          <w:spacing w:val="-4"/>
          <w:sz w:val="28"/>
          <w:szCs w:val="28"/>
          <w:lang w:val="en-US" w:eastAsia="zh-CN"/>
        </w:rPr>
        <w:t>事业在职人员19人（上年20人），</w:t>
      </w:r>
      <w:r>
        <w:rPr>
          <w:rStyle w:val="18"/>
          <w:rFonts w:hint="eastAsia" w:ascii="仿宋_GB2312" w:hAnsi="楷体" w:eastAsia="仿宋_GB2312"/>
          <w:b w:val="0"/>
          <w:spacing w:val="-4"/>
          <w:sz w:val="28"/>
          <w:szCs w:val="28"/>
        </w:rPr>
        <w:t>同比上年</w:t>
      </w:r>
      <w:r>
        <w:rPr>
          <w:rStyle w:val="18"/>
          <w:rFonts w:hint="eastAsia" w:ascii="仿宋_GB2312" w:hAnsi="楷体" w:eastAsia="仿宋_GB2312"/>
          <w:b w:val="0"/>
          <w:spacing w:val="-4"/>
          <w:sz w:val="28"/>
          <w:szCs w:val="28"/>
          <w:lang w:val="en-US" w:eastAsia="zh-CN"/>
        </w:rPr>
        <w:t>减少1</w:t>
      </w:r>
      <w:r>
        <w:rPr>
          <w:rStyle w:val="18"/>
          <w:rFonts w:hint="eastAsia" w:ascii="仿宋_GB2312" w:hAnsi="楷体" w:eastAsia="仿宋_GB2312"/>
          <w:b w:val="0"/>
          <w:spacing w:val="-4"/>
          <w:sz w:val="28"/>
          <w:szCs w:val="28"/>
        </w:rPr>
        <w:t>人</w:t>
      </w:r>
      <w:r>
        <w:rPr>
          <w:rStyle w:val="18"/>
          <w:rFonts w:hint="eastAsia" w:ascii="仿宋_GB2312" w:hAnsi="楷体" w:eastAsia="仿宋_GB2312"/>
          <w:b w:val="0"/>
          <w:spacing w:val="-4"/>
          <w:sz w:val="28"/>
          <w:szCs w:val="28"/>
          <w:lang w:eastAsia="zh-CN"/>
        </w:rPr>
        <w:t>；</w:t>
      </w:r>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实有离休人员0人（上年0人）,</w:t>
      </w:r>
      <w:r>
        <w:rPr>
          <w:rFonts w:hint="eastAsia" w:ascii="仿宋_GB2312" w:hAnsi="楷体" w:eastAsia="仿宋_GB2312"/>
          <w:b/>
          <w:spacing w:val="-4"/>
          <w:sz w:val="28"/>
          <w:szCs w:val="28"/>
        </w:rPr>
        <w:t xml:space="preserve"> </w:t>
      </w:r>
      <w:r>
        <w:rPr>
          <w:rStyle w:val="18"/>
          <w:rFonts w:hint="eastAsia" w:ascii="仿宋_GB2312" w:hAnsi="楷体" w:eastAsia="仿宋_GB2312"/>
          <w:b w:val="0"/>
          <w:spacing w:val="-4"/>
          <w:sz w:val="28"/>
          <w:szCs w:val="28"/>
        </w:rPr>
        <w:t>与上年一致。</w:t>
      </w:r>
    </w:p>
    <w:p>
      <w:pPr>
        <w:spacing w:line="360" w:lineRule="auto"/>
        <w:ind w:firstLine="544" w:firstLineChars="200"/>
        <w:rPr>
          <w:rStyle w:val="18"/>
          <w:rFonts w:hint="eastAsia" w:ascii="仿宋_GB2312" w:hAnsi="楷体" w:eastAsia="仿宋_GB2312"/>
          <w:b w:val="0"/>
          <w:spacing w:val="-4"/>
          <w:sz w:val="28"/>
          <w:szCs w:val="28"/>
        </w:rPr>
      </w:pPr>
      <w:r>
        <w:rPr>
          <w:rStyle w:val="18"/>
          <w:rFonts w:hint="eastAsia" w:ascii="仿宋_GB2312" w:hAnsi="楷体" w:eastAsia="仿宋_GB2312"/>
          <w:b w:val="0"/>
          <w:spacing w:val="-4"/>
          <w:sz w:val="28"/>
          <w:szCs w:val="28"/>
        </w:rPr>
        <w:t>实有退休人员77人（上年77人）,</w:t>
      </w:r>
      <w:r>
        <w:rPr>
          <w:rFonts w:hint="eastAsia" w:ascii="仿宋_GB2312" w:hAnsi="楷体" w:eastAsia="仿宋_GB2312"/>
          <w:b/>
          <w:spacing w:val="-4"/>
          <w:sz w:val="28"/>
          <w:szCs w:val="28"/>
        </w:rPr>
        <w:t xml:space="preserve"> </w:t>
      </w:r>
      <w:r>
        <w:rPr>
          <w:rStyle w:val="18"/>
          <w:rFonts w:hint="eastAsia" w:ascii="仿宋_GB2312" w:hAnsi="楷体" w:eastAsia="仿宋_GB2312"/>
          <w:b w:val="0"/>
          <w:spacing w:val="-4"/>
          <w:sz w:val="28"/>
          <w:szCs w:val="28"/>
        </w:rPr>
        <w:t>与上年一致。</w:t>
      </w:r>
    </w:p>
    <w:p>
      <w:pPr>
        <w:pStyle w:val="2"/>
        <w:numPr>
          <w:ilvl w:val="2"/>
          <w:numId w:val="0"/>
        </w:numPr>
        <w:spacing w:line="360" w:lineRule="auto"/>
        <w:ind w:leftChars="200"/>
        <w:rPr>
          <w:rStyle w:val="18"/>
          <w:rFonts w:ascii="仿宋" w:hAnsi="仿宋" w:eastAsia="仿宋"/>
          <w:b/>
          <w:bCs/>
        </w:rPr>
      </w:pPr>
      <w:bookmarkStart w:id="4" w:name="_Toc70450293"/>
      <w:r>
        <w:rPr>
          <w:rStyle w:val="18"/>
          <w:rFonts w:ascii="仿宋" w:hAnsi="仿宋" w:eastAsia="仿宋"/>
          <w:b/>
          <w:bCs/>
        </w:rPr>
        <w:t>3</w:t>
      </w:r>
      <w:r>
        <w:rPr>
          <w:rStyle w:val="18"/>
          <w:rFonts w:hint="eastAsia" w:ascii="仿宋" w:hAnsi="仿宋" w:eastAsia="仿宋"/>
          <w:b/>
          <w:bCs/>
        </w:rPr>
        <w:t>、重点工作计划</w:t>
      </w:r>
      <w:bookmarkEnd w:id="4"/>
    </w:p>
    <w:p>
      <w:pPr>
        <w:pStyle w:val="14"/>
        <w:widowControl/>
        <w:spacing w:before="40" w:beforeAutospacing="0" w:after="0" w:afterAutospacing="0" w:line="520" w:lineRule="atLeast"/>
        <w:ind w:firstLine="544" w:firstLineChars="200"/>
        <w:jc w:val="both"/>
        <w:rPr>
          <w:rStyle w:val="18"/>
          <w:rFonts w:hint="eastAsia" w:ascii="仿宋_GB2312" w:hAnsi="楷体" w:eastAsia="仿宋_GB2312" w:cstheme="minorBidi"/>
          <w:b w:val="0"/>
          <w:spacing w:val="-4"/>
          <w:sz w:val="28"/>
          <w:szCs w:val="28"/>
        </w:rPr>
      </w:pPr>
      <w:r>
        <w:rPr>
          <w:rStyle w:val="18"/>
          <w:rFonts w:hint="eastAsia" w:ascii="仿宋_GB2312" w:hAnsi="楷体" w:eastAsia="仿宋_GB2312" w:cstheme="minorBidi"/>
          <w:b w:val="0"/>
          <w:spacing w:val="-4"/>
          <w:sz w:val="28"/>
          <w:szCs w:val="28"/>
        </w:rPr>
        <w:t>城镇实现新增就业3600人，其中就业困难人员350人，零就业家庭保持动态清零；年末城镇登记失业率控制在4.5%以内；当年新增创业人员150人，创业带动就业450人；发放创业担保贷款100人，贷款回收率在96%以上；新培育创业孵化基地1个，相关扶持政策落实率达100%；新开发就业岗位3000个；全年实现劳动力转移就业4.5万人次，创收3.5亿元，劳务经纪人持证上岗率100%；持续做好就业服务大篷车下乡进村和送岗位下乡；各类人员培训4000人。职业培训合格率不低于85%，培训后就业率不低于85%，创业成功率不低于50%。深入推进全面参保计划，力争各险种参保率达95%以上。</w:t>
      </w:r>
    </w:p>
    <w:p>
      <w:pPr>
        <w:pStyle w:val="4"/>
        <w:spacing w:line="360" w:lineRule="auto"/>
        <w:rPr>
          <w:rStyle w:val="18"/>
          <w:rFonts w:ascii="仿宋" w:hAnsi="仿宋" w:eastAsia="仿宋"/>
          <w:b/>
          <w:bCs/>
          <w:sz w:val="28"/>
          <w:szCs w:val="28"/>
        </w:rPr>
      </w:pPr>
      <w:bookmarkStart w:id="5" w:name="_Toc70450294"/>
      <w:r>
        <w:rPr>
          <w:rStyle w:val="18"/>
          <w:rFonts w:hint="eastAsia" w:ascii="仿宋" w:hAnsi="仿宋" w:eastAsia="仿宋"/>
          <w:b/>
          <w:bCs/>
          <w:sz w:val="28"/>
          <w:szCs w:val="28"/>
        </w:rPr>
        <w:t>（二）单位整体支出规模、</w:t>
      </w:r>
      <w:bookmarkStart w:id="6" w:name="_Hlk70339807"/>
      <w:r>
        <w:rPr>
          <w:rStyle w:val="18"/>
          <w:rFonts w:hint="eastAsia" w:ascii="仿宋" w:hAnsi="仿宋" w:eastAsia="仿宋"/>
          <w:b/>
          <w:bCs/>
          <w:sz w:val="28"/>
          <w:szCs w:val="28"/>
        </w:rPr>
        <w:t>使用方法和主要内容、涉及对象及范围等</w:t>
      </w:r>
      <w:bookmarkEnd w:id="5"/>
    </w:p>
    <w:bookmarkEnd w:id="6"/>
    <w:p>
      <w:pPr>
        <w:pStyle w:val="2"/>
        <w:numPr>
          <w:ilvl w:val="2"/>
          <w:numId w:val="0"/>
        </w:numPr>
        <w:spacing w:line="360" w:lineRule="auto"/>
        <w:ind w:leftChars="200"/>
        <w:rPr>
          <w:rStyle w:val="18"/>
          <w:rFonts w:ascii="仿宋" w:hAnsi="仿宋" w:eastAsia="仿宋"/>
          <w:b/>
          <w:bCs/>
        </w:rPr>
      </w:pPr>
      <w:bookmarkStart w:id="7" w:name="_Toc70450295"/>
      <w:r>
        <w:rPr>
          <w:rStyle w:val="18"/>
          <w:rFonts w:hint="eastAsia" w:ascii="仿宋" w:hAnsi="仿宋" w:eastAsia="仿宋"/>
          <w:b/>
          <w:bCs/>
        </w:rPr>
        <w:t>1、部门单位整体支出规模</w:t>
      </w:r>
      <w:bookmarkEnd w:id="7"/>
    </w:p>
    <w:p>
      <w:pPr>
        <w:spacing w:line="360" w:lineRule="auto"/>
        <w:ind w:firstLine="544" w:firstLineChars="200"/>
        <w:rPr>
          <w:rStyle w:val="18"/>
          <w:rFonts w:hint="default" w:ascii="仿宋_GB2312" w:hAnsi="楷体" w:eastAsia="仿宋_GB2312" w:cs="Times New Roman"/>
          <w:b w:val="0"/>
          <w:spacing w:val="-4"/>
          <w:sz w:val="28"/>
          <w:szCs w:val="28"/>
          <w:highlight w:val="none"/>
          <w:lang w:val="en-US" w:eastAsia="zh-CN"/>
        </w:rPr>
      </w:pPr>
      <w:r>
        <w:rPr>
          <w:rStyle w:val="18"/>
          <w:rFonts w:hint="eastAsia" w:ascii="仿宋_GB2312" w:hAnsi="楷体" w:eastAsia="仿宋_GB2312"/>
          <w:b w:val="0"/>
          <w:spacing w:val="-4"/>
          <w:sz w:val="28"/>
          <w:szCs w:val="28"/>
          <w:highlight w:val="none"/>
        </w:rPr>
        <w:t>2021年批复我单位预算为</w:t>
      </w:r>
      <w:r>
        <w:rPr>
          <w:rStyle w:val="18"/>
          <w:rFonts w:hint="eastAsia" w:ascii="仿宋_GB2312" w:hAnsi="楷体" w:eastAsia="仿宋_GB2312"/>
          <w:b w:val="0"/>
          <w:spacing w:val="-4"/>
          <w:sz w:val="28"/>
          <w:szCs w:val="28"/>
          <w:highlight w:val="none"/>
          <w:lang w:val="en-US" w:eastAsia="zh-CN"/>
        </w:rPr>
        <w:t>10482.42</w:t>
      </w:r>
      <w:r>
        <w:rPr>
          <w:rStyle w:val="18"/>
          <w:rFonts w:hint="eastAsia" w:ascii="仿宋_GB2312" w:hAnsi="楷体" w:eastAsia="仿宋_GB2312"/>
          <w:b w:val="0"/>
          <w:spacing w:val="-4"/>
          <w:sz w:val="28"/>
          <w:szCs w:val="28"/>
          <w:highlight w:val="none"/>
        </w:rPr>
        <w:t>万元，其中：财政拨款为</w:t>
      </w:r>
      <w:r>
        <w:rPr>
          <w:rStyle w:val="18"/>
          <w:rFonts w:hint="eastAsia" w:ascii="仿宋_GB2312" w:hAnsi="楷体" w:eastAsia="仿宋_GB2312"/>
          <w:b w:val="0"/>
          <w:spacing w:val="-4"/>
          <w:sz w:val="28"/>
          <w:szCs w:val="28"/>
          <w:highlight w:val="none"/>
          <w:lang w:val="en-US" w:eastAsia="zh-CN"/>
        </w:rPr>
        <w:t>1048</w:t>
      </w:r>
      <w:r>
        <w:rPr>
          <w:rStyle w:val="18"/>
          <w:rFonts w:hint="eastAsia" w:ascii="仿宋_GB2312" w:hAnsi="楷体" w:eastAsia="仿宋_GB2312" w:cs="Times New Roman"/>
          <w:b w:val="0"/>
          <w:spacing w:val="-4"/>
          <w:sz w:val="28"/>
          <w:szCs w:val="28"/>
          <w:highlight w:val="none"/>
          <w:lang w:val="en-US" w:eastAsia="zh-CN"/>
        </w:rPr>
        <w:t>2.42万元，年中追加7188.28万元，调整率218.21%。对比上年2122.30万元，增加8360.12万元，上升393.92%。</w:t>
      </w:r>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2021年实际决算</w:t>
      </w:r>
      <w:r>
        <w:rPr>
          <w:rStyle w:val="18"/>
          <w:rFonts w:hint="eastAsia" w:ascii="仿宋_GB2312" w:hAnsi="楷体" w:eastAsia="仿宋_GB2312"/>
          <w:b w:val="0"/>
          <w:spacing w:val="-4"/>
          <w:sz w:val="28"/>
          <w:szCs w:val="28"/>
          <w:highlight w:val="none"/>
        </w:rPr>
        <w:t>支出</w:t>
      </w:r>
      <w:r>
        <w:rPr>
          <w:rStyle w:val="18"/>
          <w:rFonts w:hint="eastAsia" w:ascii="仿宋_GB2312" w:hAnsi="楷体" w:eastAsia="仿宋_GB2312"/>
          <w:b w:val="0"/>
          <w:spacing w:val="-4"/>
          <w:sz w:val="28"/>
          <w:szCs w:val="28"/>
          <w:highlight w:val="none"/>
          <w:lang w:val="en-US" w:eastAsia="zh-CN"/>
        </w:rPr>
        <w:t>10482.42</w:t>
      </w:r>
      <w:r>
        <w:rPr>
          <w:rStyle w:val="18"/>
          <w:rFonts w:hint="eastAsia" w:ascii="仿宋_GB2312" w:hAnsi="楷体" w:eastAsia="仿宋_GB2312"/>
          <w:b w:val="0"/>
          <w:spacing w:val="-4"/>
          <w:sz w:val="28"/>
          <w:szCs w:val="28"/>
          <w:highlight w:val="none"/>
        </w:rPr>
        <w:t>万元，</w:t>
      </w:r>
      <w:r>
        <w:rPr>
          <w:rStyle w:val="18"/>
          <w:rFonts w:hint="eastAsia" w:ascii="仿宋_GB2312" w:hAnsi="楷体" w:eastAsia="仿宋_GB2312"/>
          <w:b w:val="0"/>
          <w:spacing w:val="-4"/>
          <w:sz w:val="28"/>
          <w:szCs w:val="28"/>
        </w:rPr>
        <w:t>执行率100%，其中：</w:t>
      </w:r>
    </w:p>
    <w:p>
      <w:pPr>
        <w:spacing w:line="360" w:lineRule="auto"/>
        <w:ind w:firstLine="544" w:firstLineChars="200"/>
        <w:rPr>
          <w:rStyle w:val="18"/>
          <w:rFonts w:hint="eastAsia" w:ascii="仿宋_GB2312" w:hAnsi="楷体" w:eastAsia="仿宋_GB2312" w:cs="Times New Roman"/>
          <w:b w:val="0"/>
          <w:spacing w:val="-4"/>
          <w:sz w:val="28"/>
          <w:szCs w:val="28"/>
          <w:highlight w:val="none"/>
          <w:lang w:val="en-US" w:eastAsia="zh-CN"/>
        </w:rPr>
      </w:pPr>
      <w:r>
        <w:rPr>
          <w:rStyle w:val="18"/>
          <w:rFonts w:hint="eastAsia" w:ascii="仿宋_GB2312" w:hAnsi="楷体" w:eastAsia="仿宋_GB2312" w:cs="Times New Roman"/>
          <w:b w:val="0"/>
          <w:spacing w:val="-4"/>
          <w:sz w:val="28"/>
          <w:szCs w:val="28"/>
          <w:highlight w:val="none"/>
          <w:lang w:val="en-US" w:eastAsia="zh-CN"/>
        </w:rPr>
        <w:t xml:space="preserve">（1）基本支出740万元，占总支出的7.06％，主要用于本单位机构正常运转、完成日常工作任务而发生的各项支出。其中：工资福利支出558.53万元，主要用于在职和离退休人员基本工资、津贴补贴等人员经费。商品和服务支出132.5万元，主要用于办公费、水电费、邮电费、差旅费、工会经费、公务用车运行费等。对个人和家庭的补助48.97万元，主要用于退休费、生活补助、奖励金。  </w:t>
      </w:r>
    </w:p>
    <w:p>
      <w:pPr>
        <w:spacing w:line="360" w:lineRule="auto"/>
        <w:ind w:firstLine="544" w:firstLineChars="200"/>
        <w:rPr>
          <w:rStyle w:val="18"/>
          <w:rFonts w:hint="default" w:ascii="仿宋_GB2312" w:hAnsi="楷体" w:eastAsia="仿宋_GB2312" w:cs="Times New Roman"/>
          <w:b w:val="0"/>
          <w:spacing w:val="-4"/>
          <w:sz w:val="28"/>
          <w:szCs w:val="28"/>
          <w:highlight w:val="none"/>
          <w:lang w:val="en-US" w:eastAsia="zh-CN"/>
        </w:rPr>
      </w:pPr>
      <w:r>
        <w:rPr>
          <w:rStyle w:val="18"/>
          <w:rFonts w:hint="eastAsia" w:ascii="仿宋_GB2312" w:hAnsi="楷体" w:eastAsia="仿宋_GB2312" w:cs="Times New Roman"/>
          <w:b w:val="0"/>
          <w:spacing w:val="-4"/>
          <w:sz w:val="28"/>
          <w:szCs w:val="28"/>
          <w:highlight w:val="none"/>
          <w:lang w:val="en-US" w:eastAsia="zh-CN"/>
        </w:rPr>
        <w:t>（2）项目支出9742.42万元，占总支出的92.94％。其中：全区企业基本养老保险扩面项目安排0.5万元，主要用于完成扩面基本养老保险经费及补助等支出，其他就业补助资金项目安排1199.89万元，主要用于发放职业培训及技能鉴定补贴、企业用人及灵活就业社保补贴、公益性岗位补贴、公益性岗位社保补贴、就业见习补贴、“三支一扶”社保补贴、企业社保返还、灵活性就业补贴、就业援助金、求职创业补贴、自主创业补贴等支出；其他普惠金融发展资金项目安排93万元，主要用于小额担保贷款贴息等支出；高校毕业生“三支一扶”中央补助资金项目安排27.03万元，主要用于高校毕业生“三支一扶”工作生活补贴、安家费补助等支出，城乡居民基本养老保险专项资金2098万元，主要用于确保符合待遇领取条件的城乡参保居民能够按时足额领取到城乡居民基础养老金，做到“老有所养”；机关事业单位养老保险专项资金6324万元，主要用于补助2021年机关事业单位基本养老保险基金，保障退休人员待遇按时足额发放。</w:t>
      </w:r>
    </w:p>
    <w:p>
      <w:pPr>
        <w:spacing w:line="360" w:lineRule="auto"/>
        <w:ind w:firstLine="544" w:firstLineChars="200"/>
        <w:rPr>
          <w:rStyle w:val="18"/>
          <w:rFonts w:hint="eastAsia" w:ascii="仿宋_GB2312" w:hAnsi="楷体" w:eastAsia="仿宋_GB2312"/>
          <w:b w:val="0"/>
          <w:spacing w:val="-4"/>
          <w:sz w:val="28"/>
          <w:szCs w:val="28"/>
          <w:highlight w:val="none"/>
        </w:rPr>
      </w:pPr>
      <w:r>
        <w:rPr>
          <w:rStyle w:val="18"/>
          <w:rFonts w:hint="eastAsia" w:ascii="仿宋_GB2312" w:hAnsi="楷体" w:eastAsia="仿宋_GB2312"/>
          <w:b w:val="0"/>
          <w:spacing w:val="-4"/>
          <w:sz w:val="28"/>
          <w:szCs w:val="28"/>
          <w:highlight w:val="none"/>
        </w:rPr>
        <w:t>（</w:t>
      </w:r>
      <w:r>
        <w:rPr>
          <w:rStyle w:val="18"/>
          <w:rFonts w:ascii="仿宋_GB2312" w:hAnsi="楷体" w:eastAsia="仿宋_GB2312"/>
          <w:b w:val="0"/>
          <w:spacing w:val="-4"/>
          <w:sz w:val="28"/>
          <w:szCs w:val="28"/>
          <w:highlight w:val="none"/>
        </w:rPr>
        <w:t>3</w:t>
      </w:r>
      <w:r>
        <w:rPr>
          <w:rStyle w:val="18"/>
          <w:rFonts w:hint="eastAsia" w:ascii="仿宋_GB2312" w:hAnsi="楷体" w:eastAsia="仿宋_GB2312"/>
          <w:b w:val="0"/>
          <w:spacing w:val="-4"/>
          <w:sz w:val="28"/>
          <w:szCs w:val="28"/>
          <w:highlight w:val="none"/>
        </w:rPr>
        <w:t>）本年度重点项目支出</w:t>
      </w:r>
      <w:r>
        <w:rPr>
          <w:rStyle w:val="18"/>
          <w:rFonts w:hint="eastAsia" w:ascii="仿宋_GB2312" w:hAnsi="楷体" w:eastAsia="仿宋_GB2312"/>
          <w:b w:val="0"/>
          <w:spacing w:val="-4"/>
          <w:sz w:val="28"/>
          <w:szCs w:val="28"/>
          <w:highlight w:val="none"/>
          <w:lang w:val="en-US" w:eastAsia="zh-CN"/>
        </w:rPr>
        <w:t>9621.89</w:t>
      </w:r>
      <w:r>
        <w:rPr>
          <w:rStyle w:val="18"/>
          <w:rFonts w:hint="eastAsia" w:ascii="仿宋_GB2312" w:hAnsi="楷体" w:eastAsia="仿宋_GB2312"/>
          <w:b w:val="0"/>
          <w:spacing w:val="-4"/>
          <w:sz w:val="28"/>
          <w:szCs w:val="28"/>
          <w:highlight w:val="none"/>
        </w:rPr>
        <w:t>万元，重点支出保障率</w:t>
      </w:r>
      <w:r>
        <w:rPr>
          <w:rStyle w:val="18"/>
          <w:rFonts w:hint="eastAsia" w:ascii="仿宋_GB2312" w:hAnsi="楷体" w:eastAsia="仿宋_GB2312"/>
          <w:b w:val="0"/>
          <w:spacing w:val="-4"/>
          <w:sz w:val="28"/>
          <w:szCs w:val="28"/>
          <w:highlight w:val="none"/>
          <w:lang w:val="en-US" w:eastAsia="zh-CN"/>
        </w:rPr>
        <w:t>98.76</w:t>
      </w:r>
      <w:r>
        <w:rPr>
          <w:rStyle w:val="18"/>
          <w:rFonts w:hint="eastAsia" w:ascii="仿宋_GB2312" w:hAnsi="楷体" w:eastAsia="仿宋_GB2312"/>
          <w:b w:val="0"/>
          <w:spacing w:val="-4"/>
          <w:sz w:val="28"/>
          <w:szCs w:val="28"/>
          <w:highlight w:val="none"/>
        </w:rPr>
        <w:t>%。其中重点保障项目是就业补助资金项目</w:t>
      </w:r>
      <w:r>
        <w:rPr>
          <w:rStyle w:val="18"/>
          <w:rFonts w:hint="eastAsia" w:ascii="仿宋_GB2312" w:hAnsi="楷体" w:eastAsia="仿宋_GB2312"/>
          <w:b w:val="0"/>
          <w:spacing w:val="-4"/>
          <w:sz w:val="28"/>
          <w:szCs w:val="28"/>
          <w:highlight w:val="none"/>
          <w:lang w:eastAsia="zh-CN"/>
        </w:rPr>
        <w:t>、</w:t>
      </w:r>
      <w:r>
        <w:rPr>
          <w:rStyle w:val="18"/>
          <w:rFonts w:hint="eastAsia" w:ascii="仿宋_GB2312" w:hAnsi="楷体" w:eastAsia="仿宋_GB2312"/>
          <w:b w:val="0"/>
          <w:spacing w:val="-4"/>
          <w:sz w:val="28"/>
          <w:szCs w:val="28"/>
          <w:highlight w:val="none"/>
          <w:lang w:val="en-US" w:eastAsia="zh-CN"/>
        </w:rPr>
        <w:t>城乡居民基本养老保险专项资金、机关事业单位养老保险专项资金</w:t>
      </w:r>
      <w:r>
        <w:rPr>
          <w:rStyle w:val="18"/>
          <w:rFonts w:hint="eastAsia" w:ascii="仿宋_GB2312" w:hAnsi="楷体" w:eastAsia="仿宋_GB2312"/>
          <w:b w:val="0"/>
          <w:spacing w:val="-4"/>
          <w:sz w:val="28"/>
          <w:szCs w:val="28"/>
          <w:highlight w:val="none"/>
        </w:rPr>
        <w:t>。</w:t>
      </w:r>
    </w:p>
    <w:p>
      <w:pPr>
        <w:spacing w:line="360" w:lineRule="auto"/>
        <w:ind w:firstLine="544" w:firstLineChars="200"/>
        <w:rPr>
          <w:rStyle w:val="18"/>
          <w:rFonts w:ascii="仿宋_GB2312" w:hAnsi="楷体" w:eastAsia="仿宋_GB2312"/>
          <w:b w:val="0"/>
          <w:spacing w:val="-4"/>
          <w:sz w:val="32"/>
          <w:szCs w:val="32"/>
        </w:rPr>
      </w:pPr>
      <w:r>
        <w:rPr>
          <w:rStyle w:val="18"/>
          <w:rFonts w:hint="eastAsia" w:ascii="仿宋_GB2312" w:hAnsi="楷体" w:eastAsia="仿宋_GB2312"/>
          <w:b w:val="0"/>
          <w:spacing w:val="-4"/>
          <w:sz w:val="28"/>
          <w:szCs w:val="28"/>
        </w:rPr>
        <w:t>（</w:t>
      </w:r>
      <w:r>
        <w:rPr>
          <w:rStyle w:val="18"/>
          <w:rFonts w:hint="eastAsia" w:ascii="仿宋_GB2312" w:hAnsi="楷体" w:eastAsia="仿宋_GB2312"/>
          <w:b w:val="0"/>
          <w:color w:val="auto"/>
          <w:spacing w:val="-4"/>
          <w:sz w:val="28"/>
          <w:szCs w:val="28"/>
        </w:rPr>
        <w:t>4）</w:t>
      </w:r>
      <w:r>
        <w:rPr>
          <w:rStyle w:val="18"/>
          <w:rFonts w:hint="eastAsia" w:ascii="仿宋_GB2312" w:hAnsi="楷体" w:eastAsia="仿宋_GB2312"/>
          <w:b w:val="0"/>
          <w:bCs w:val="0"/>
          <w:color w:val="auto"/>
          <w:spacing w:val="-4"/>
          <w:sz w:val="28"/>
          <w:szCs w:val="28"/>
        </w:rPr>
        <w:t>本年度我单位无政府采购预算。</w:t>
      </w:r>
    </w:p>
    <w:p>
      <w:pPr>
        <w:pStyle w:val="2"/>
        <w:numPr>
          <w:ilvl w:val="2"/>
          <w:numId w:val="0"/>
        </w:numPr>
        <w:spacing w:line="360" w:lineRule="auto"/>
        <w:ind w:leftChars="200"/>
        <w:rPr>
          <w:rStyle w:val="18"/>
          <w:rFonts w:ascii="仿宋" w:hAnsi="仿宋" w:eastAsia="仿宋"/>
          <w:b/>
          <w:bCs/>
        </w:rPr>
      </w:pPr>
      <w:bookmarkStart w:id="8" w:name="_Toc70450296"/>
      <w:r>
        <w:rPr>
          <w:rStyle w:val="18"/>
          <w:rFonts w:ascii="仿宋" w:hAnsi="仿宋" w:eastAsia="仿宋"/>
          <w:b/>
          <w:bCs/>
        </w:rPr>
        <w:t>2</w:t>
      </w:r>
      <w:r>
        <w:rPr>
          <w:rStyle w:val="18"/>
          <w:rFonts w:hint="eastAsia" w:ascii="仿宋" w:hAnsi="仿宋" w:eastAsia="仿宋"/>
          <w:b/>
          <w:bCs/>
        </w:rPr>
        <w:t>、整体支出评价使用方法和主要内容、涉及对象及范围等</w:t>
      </w:r>
      <w:bookmarkEnd w:id="8"/>
    </w:p>
    <w:p>
      <w:pPr>
        <w:spacing w:line="360" w:lineRule="auto"/>
        <w:ind w:firstLine="560" w:firstLineChars="200"/>
        <w:rPr>
          <w:rStyle w:val="18"/>
          <w:rFonts w:hint="eastAsia" w:ascii="仿宋_GB2312" w:eastAsia="仿宋_GB2312"/>
          <w:b w:val="0"/>
          <w:bCs w:val="0"/>
          <w:sz w:val="28"/>
          <w:szCs w:val="36"/>
        </w:rPr>
      </w:pPr>
      <w:r>
        <w:rPr>
          <w:rFonts w:hint="eastAsia" w:ascii="仿宋_GB2312" w:eastAsia="仿宋_GB2312"/>
          <w:sz w:val="28"/>
          <w:szCs w:val="36"/>
        </w:rPr>
        <w:t>（1）</w:t>
      </w:r>
      <w:r>
        <w:rPr>
          <w:rStyle w:val="18"/>
          <w:rFonts w:hint="eastAsia" w:ascii="仿宋_GB2312" w:eastAsia="仿宋_GB2312"/>
          <w:b w:val="0"/>
          <w:bCs w:val="0"/>
          <w:sz w:val="28"/>
          <w:szCs w:val="36"/>
        </w:rPr>
        <w:t>整体支出评价使用方法</w:t>
      </w:r>
    </w:p>
    <w:p>
      <w:pPr>
        <w:pageBreakBefore w:val="0"/>
        <w:kinsoku/>
        <w:wordWrap/>
        <w:overflowPunct/>
        <w:topLinePunct w:val="0"/>
        <w:autoSpaceDE/>
        <w:autoSpaceDN/>
        <w:bidi w:val="0"/>
        <w:adjustRightInd/>
        <w:spacing w:line="560" w:lineRule="exact"/>
        <w:ind w:firstLine="560" w:firstLineChars="200"/>
        <w:rPr>
          <w:rStyle w:val="18"/>
          <w:rFonts w:hint="eastAsia" w:ascii="仿宋_GB2312" w:eastAsia="仿宋_GB2312"/>
          <w:b w:val="0"/>
          <w:bCs w:val="0"/>
          <w:color w:val="auto"/>
          <w:sz w:val="28"/>
          <w:szCs w:val="36"/>
          <w:highlight w:val="none"/>
          <w:lang w:eastAsia="zh-CN"/>
        </w:rPr>
      </w:pPr>
      <w:r>
        <w:rPr>
          <w:rStyle w:val="18"/>
          <w:rFonts w:hint="eastAsia" w:ascii="仿宋_GB2312" w:eastAsia="仿宋_GB2312"/>
          <w:b w:val="0"/>
          <w:bCs w:val="0"/>
          <w:color w:val="auto"/>
          <w:sz w:val="28"/>
          <w:szCs w:val="36"/>
          <w:highlight w:val="none"/>
        </w:rPr>
        <w:t>本次项目支出绩效自评采用</w:t>
      </w:r>
      <w:r>
        <w:rPr>
          <w:rStyle w:val="18"/>
          <w:rFonts w:hint="eastAsia" w:ascii="仿宋_GB2312" w:eastAsia="仿宋_GB2312"/>
          <w:b w:val="0"/>
          <w:bCs w:val="0"/>
          <w:color w:val="auto"/>
          <w:sz w:val="28"/>
          <w:szCs w:val="36"/>
          <w:highlight w:val="none"/>
          <w:lang w:eastAsia="zh-CN"/>
        </w:rPr>
        <w:t>因素分析法</w:t>
      </w:r>
      <w:r>
        <w:rPr>
          <w:rStyle w:val="18"/>
          <w:rFonts w:hint="eastAsia" w:ascii="仿宋_GB2312" w:eastAsia="仿宋_GB2312"/>
          <w:b w:val="0"/>
          <w:bCs w:val="0"/>
          <w:color w:val="auto"/>
          <w:sz w:val="28"/>
          <w:szCs w:val="36"/>
          <w:highlight w:val="none"/>
        </w:rPr>
        <w:t>，原因是：</w:t>
      </w:r>
      <w:r>
        <w:rPr>
          <w:rStyle w:val="18"/>
          <w:rFonts w:hint="eastAsia" w:ascii="仿宋_GB2312" w:hAnsi="楷体" w:eastAsia="仿宋_GB2312" w:cs="Times New Roman"/>
          <w:b w:val="0"/>
          <w:spacing w:val="-4"/>
          <w:sz w:val="28"/>
          <w:szCs w:val="28"/>
          <w:highlight w:val="none"/>
        </w:rPr>
        <w:t>特克斯县人力资源和社会保障局</w:t>
      </w:r>
      <w:r>
        <w:rPr>
          <w:rStyle w:val="18"/>
          <w:rFonts w:hint="eastAsia" w:ascii="仿宋_GB2312" w:eastAsia="仿宋_GB2312"/>
          <w:b w:val="0"/>
          <w:bCs w:val="0"/>
          <w:color w:val="auto"/>
          <w:sz w:val="28"/>
          <w:szCs w:val="36"/>
          <w:highlight w:val="none"/>
          <w:lang w:eastAsia="zh-CN"/>
        </w:rPr>
        <w:t>从数量上确定各因素对分析指标影响方向和影响程度一种方法，运用因素分析法应注意因素关联性、顺序性。</w:t>
      </w:r>
    </w:p>
    <w:p>
      <w:pPr>
        <w:spacing w:line="360" w:lineRule="auto"/>
        <w:ind w:firstLine="560" w:firstLineChars="200"/>
        <w:rPr>
          <w:rStyle w:val="18"/>
          <w:rFonts w:ascii="仿宋_GB2312" w:eastAsia="仿宋_GB2312"/>
          <w:b w:val="0"/>
          <w:bCs w:val="0"/>
          <w:sz w:val="28"/>
          <w:szCs w:val="36"/>
        </w:rPr>
      </w:pPr>
      <w:r>
        <w:rPr>
          <w:rStyle w:val="18"/>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8"/>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8"/>
          <w:rFonts w:ascii="仿宋_GB2312" w:eastAsia="仿宋_GB2312"/>
          <w:b w:val="0"/>
          <w:bCs w:val="0"/>
          <w:sz w:val="28"/>
          <w:szCs w:val="36"/>
        </w:rPr>
      </w:pPr>
      <w:r>
        <w:rPr>
          <w:rStyle w:val="18"/>
          <w:rFonts w:hint="eastAsia" w:ascii="仿宋_GB2312" w:eastAsia="仿宋_GB2312"/>
          <w:b w:val="0"/>
          <w:bCs w:val="0"/>
          <w:sz w:val="28"/>
          <w:szCs w:val="36"/>
        </w:rPr>
        <w:t>（3）整体支出评价涉及对象及范围</w:t>
      </w:r>
    </w:p>
    <w:p>
      <w:pPr>
        <w:spacing w:line="360" w:lineRule="auto"/>
        <w:ind w:firstLine="560" w:firstLineChars="200"/>
        <w:rPr>
          <w:rFonts w:hint="eastAsia" w:ascii="仿宋_GB2312" w:eastAsia="仿宋_GB2312"/>
          <w:sz w:val="28"/>
          <w:szCs w:val="36"/>
        </w:rPr>
      </w:pPr>
      <w:r>
        <w:rPr>
          <w:rStyle w:val="18"/>
          <w:rFonts w:hint="eastAsia" w:ascii="仿宋_GB2312" w:eastAsia="仿宋_GB2312"/>
          <w:b w:val="0"/>
          <w:bCs w:val="0"/>
          <w:sz w:val="28"/>
          <w:szCs w:val="36"/>
        </w:rPr>
        <w:t>涉及对象：</w:t>
      </w:r>
      <w:r>
        <w:rPr>
          <w:rFonts w:hint="eastAsia" w:ascii="仿宋_GB2312" w:eastAsia="仿宋_GB2312"/>
          <w:sz w:val="28"/>
          <w:szCs w:val="36"/>
        </w:rPr>
        <w:t>本次评价对象是特克斯县人力资源和社会保障局所有财政资金支出活动。</w:t>
      </w:r>
    </w:p>
    <w:p>
      <w:pPr>
        <w:spacing w:line="360" w:lineRule="auto"/>
        <w:ind w:firstLine="560" w:firstLineChars="200"/>
        <w:rPr>
          <w:rStyle w:val="18"/>
          <w:rFonts w:ascii="仿宋_GB2312" w:eastAsia="仿宋_GB2312"/>
          <w:b w:val="0"/>
          <w:bCs w:val="0"/>
          <w:sz w:val="28"/>
          <w:szCs w:val="36"/>
        </w:rPr>
      </w:pPr>
      <w:r>
        <w:rPr>
          <w:rStyle w:val="18"/>
          <w:rFonts w:hint="eastAsia" w:ascii="仿宋_GB2312" w:eastAsia="仿宋_GB2312"/>
          <w:b w:val="0"/>
          <w:bCs w:val="0"/>
          <w:sz w:val="28"/>
          <w:szCs w:val="36"/>
        </w:rPr>
        <w:t>整体支出评价范围：</w:t>
      </w:r>
    </w:p>
    <w:p>
      <w:pPr>
        <w:spacing w:line="360" w:lineRule="auto"/>
        <w:ind w:firstLine="560" w:firstLineChars="200"/>
        <w:rPr>
          <w:rFonts w:hint="eastAsia" w:ascii="仿宋_GB2312" w:eastAsia="仿宋_GB2312"/>
          <w:sz w:val="28"/>
          <w:szCs w:val="36"/>
        </w:rPr>
      </w:pPr>
      <w:r>
        <w:rPr>
          <w:rFonts w:hint="eastAsia" w:ascii="仿宋_GB2312" w:eastAsia="仿宋_GB2312"/>
          <w:sz w:val="28"/>
          <w:szCs w:val="36"/>
        </w:rPr>
        <w:fldChar w:fldCharType="begin"/>
      </w:r>
      <w:r>
        <w:rPr>
          <w:rFonts w:hint="eastAsia" w:ascii="仿宋_GB2312" w:eastAsia="仿宋_GB2312"/>
          <w:sz w:val="28"/>
          <w:szCs w:val="36"/>
        </w:rPr>
        <w:instrText xml:space="preserve"> = 1 \* GB3 </w:instrText>
      </w:r>
      <w:r>
        <w:rPr>
          <w:rFonts w:hint="eastAsia" w:ascii="仿宋_GB2312" w:eastAsia="仿宋_GB2312"/>
          <w:sz w:val="28"/>
          <w:szCs w:val="36"/>
        </w:rPr>
        <w:fldChar w:fldCharType="separate"/>
      </w:r>
      <w:r>
        <w:rPr>
          <w:rFonts w:hint="eastAsia" w:ascii="仿宋_GB2312" w:eastAsia="仿宋_GB2312"/>
          <w:sz w:val="28"/>
          <w:szCs w:val="36"/>
        </w:rPr>
        <w:t>①</w:t>
      </w:r>
      <w:r>
        <w:rPr>
          <w:rFonts w:hint="eastAsia" w:ascii="仿宋_GB2312" w:eastAsia="仿宋_GB2312"/>
          <w:sz w:val="28"/>
          <w:szCs w:val="36"/>
        </w:rPr>
        <w:fldChar w:fldCharType="end"/>
      </w:r>
      <w:r>
        <w:rPr>
          <w:rFonts w:hint="eastAsia" w:ascii="仿宋_GB2312" w:eastAsia="仿宋_GB2312"/>
          <w:sz w:val="28"/>
          <w:szCs w:val="36"/>
        </w:rPr>
        <w:t>基本支出 740万元，其中：工资福利支出、商品和服务支出、对个人和家庭的补助支出。</w:t>
      </w:r>
    </w:p>
    <w:p>
      <w:pPr>
        <w:spacing w:line="360" w:lineRule="auto"/>
        <w:ind w:firstLine="560" w:firstLineChars="200"/>
        <w:rPr>
          <w:rFonts w:hint="default" w:ascii="仿宋_GB2312" w:eastAsia="仿宋_GB2312"/>
          <w:sz w:val="28"/>
          <w:szCs w:val="36"/>
          <w:lang w:val="en-US" w:eastAsia="zh-CN"/>
        </w:rPr>
      </w:pPr>
      <w:r>
        <w:rPr>
          <w:rFonts w:hint="eastAsia" w:ascii="仿宋_GB2312" w:eastAsia="仿宋_GB2312"/>
          <w:sz w:val="28"/>
          <w:szCs w:val="36"/>
        </w:rPr>
        <w:fldChar w:fldCharType="begin"/>
      </w:r>
      <w:r>
        <w:rPr>
          <w:rFonts w:hint="eastAsia" w:ascii="仿宋_GB2312" w:eastAsia="仿宋_GB2312"/>
          <w:sz w:val="28"/>
          <w:szCs w:val="36"/>
        </w:rPr>
        <w:instrText xml:space="preserve"> = 2 \* GB3 </w:instrText>
      </w:r>
      <w:r>
        <w:rPr>
          <w:rFonts w:hint="eastAsia" w:ascii="仿宋_GB2312" w:eastAsia="仿宋_GB2312"/>
          <w:sz w:val="28"/>
          <w:szCs w:val="36"/>
        </w:rPr>
        <w:fldChar w:fldCharType="separate"/>
      </w:r>
      <w:r>
        <w:rPr>
          <w:rFonts w:hint="eastAsia" w:ascii="仿宋_GB2312" w:eastAsia="仿宋_GB2312"/>
          <w:sz w:val="28"/>
          <w:szCs w:val="36"/>
        </w:rPr>
        <w:t>②</w:t>
      </w:r>
      <w:r>
        <w:rPr>
          <w:rFonts w:hint="eastAsia" w:ascii="仿宋_GB2312" w:eastAsia="仿宋_GB2312"/>
          <w:sz w:val="28"/>
          <w:szCs w:val="36"/>
        </w:rPr>
        <w:fldChar w:fldCharType="end"/>
      </w:r>
      <w:r>
        <w:rPr>
          <w:rFonts w:hint="eastAsia" w:ascii="仿宋_GB2312" w:eastAsia="仿宋_GB2312"/>
          <w:sz w:val="28"/>
          <w:szCs w:val="36"/>
        </w:rPr>
        <w:t>项目支出</w:t>
      </w:r>
      <w:r>
        <w:rPr>
          <w:rFonts w:hint="eastAsia" w:ascii="仿宋_GB2312" w:eastAsia="仿宋_GB2312"/>
          <w:sz w:val="28"/>
          <w:szCs w:val="36"/>
          <w:lang w:val="en-US" w:eastAsia="zh-CN"/>
        </w:rPr>
        <w:t>9742.42</w:t>
      </w:r>
      <w:r>
        <w:rPr>
          <w:rFonts w:hint="eastAsia" w:ascii="仿宋_GB2312" w:eastAsia="仿宋_GB2312"/>
          <w:sz w:val="28"/>
          <w:szCs w:val="36"/>
        </w:rPr>
        <w:t>万元：其他就业补助资金项目全区企业基本养老保险扩面项目，小额担保贷款贴息，2021年高校毕业生“三支一扶”中央补助资金项目。</w:t>
      </w:r>
      <w:r>
        <w:rPr>
          <w:rFonts w:hint="eastAsia" w:ascii="仿宋_GB2312" w:eastAsia="仿宋_GB2312"/>
          <w:sz w:val="28"/>
          <w:szCs w:val="36"/>
          <w:lang w:val="en-US" w:eastAsia="zh-CN"/>
        </w:rPr>
        <w:t>城乡居民基本养老保险资金项目，机关事业单位基本养老保险资金项目。</w:t>
      </w:r>
    </w:p>
    <w:p>
      <w:pPr>
        <w:pStyle w:val="7"/>
        <w:spacing w:line="360" w:lineRule="auto"/>
        <w:rPr>
          <w:rFonts w:ascii="仿宋" w:hAnsi="仿宋" w:eastAsia="仿宋"/>
          <w:sz w:val="36"/>
          <w:szCs w:val="36"/>
        </w:rPr>
      </w:pPr>
      <w:bookmarkStart w:id="9" w:name="_Toc70450297"/>
      <w:r>
        <w:rPr>
          <w:rFonts w:hint="eastAsia" w:ascii="仿宋" w:hAnsi="仿宋" w:eastAsia="仿宋"/>
          <w:sz w:val="36"/>
          <w:szCs w:val="36"/>
        </w:rPr>
        <w:t>二、部门单位整体支出管理及使用情况</w:t>
      </w:r>
      <w:bookmarkEnd w:id="9"/>
    </w:p>
    <w:p>
      <w:pPr>
        <w:pStyle w:val="4"/>
        <w:spacing w:line="360" w:lineRule="auto"/>
        <w:rPr>
          <w:rStyle w:val="18"/>
          <w:rFonts w:ascii="仿宋" w:hAnsi="仿宋" w:eastAsia="仿宋"/>
          <w:b/>
          <w:bCs/>
        </w:rPr>
      </w:pPr>
      <w:bookmarkStart w:id="10" w:name="_Toc70450298"/>
      <w:r>
        <w:rPr>
          <w:rStyle w:val="18"/>
          <w:rFonts w:hint="eastAsia" w:ascii="仿宋" w:hAnsi="仿宋" w:eastAsia="仿宋"/>
          <w:b/>
          <w:bCs/>
        </w:rPr>
        <w:t>（一）预算管理</w:t>
      </w:r>
      <w:bookmarkEnd w:id="10"/>
    </w:p>
    <w:p>
      <w:pPr>
        <w:pStyle w:val="2"/>
        <w:numPr>
          <w:ilvl w:val="2"/>
          <w:numId w:val="0"/>
        </w:numPr>
        <w:spacing w:line="360" w:lineRule="auto"/>
        <w:ind w:leftChars="200"/>
        <w:rPr>
          <w:rStyle w:val="18"/>
          <w:rFonts w:ascii="仿宋" w:hAnsi="仿宋" w:eastAsia="仿宋"/>
          <w:b/>
          <w:bCs/>
        </w:rPr>
      </w:pPr>
      <w:bookmarkStart w:id="11" w:name="_Toc70450299"/>
      <w:r>
        <w:rPr>
          <w:rStyle w:val="18"/>
          <w:rFonts w:ascii="仿宋" w:hAnsi="仿宋" w:eastAsia="仿宋"/>
          <w:b/>
          <w:bCs/>
        </w:rPr>
        <w:t>1</w:t>
      </w:r>
      <w:r>
        <w:rPr>
          <w:rStyle w:val="18"/>
          <w:rFonts w:hint="eastAsia" w:ascii="仿宋" w:hAnsi="仿宋" w:eastAsia="仿宋"/>
          <w:b/>
          <w:bCs/>
        </w:rPr>
        <w:t>、预算编制管理</w:t>
      </w:r>
      <w:bookmarkEnd w:id="11"/>
    </w:p>
    <w:p>
      <w:pPr>
        <w:spacing w:line="360" w:lineRule="auto"/>
        <w:ind w:firstLine="506" w:firstLineChars="181"/>
        <w:rPr>
          <w:rStyle w:val="18"/>
          <w:rFonts w:asciiTheme="minorEastAsia" w:hAnsiTheme="minorEastAsia"/>
          <w:color w:val="FF0000"/>
          <w:spacing w:val="-4"/>
          <w:sz w:val="28"/>
          <w:szCs w:val="28"/>
        </w:rPr>
      </w:pPr>
      <w:r>
        <w:rPr>
          <w:rFonts w:hint="eastAsia" w:ascii="仿宋_GB2312" w:eastAsia="仿宋_GB2312"/>
          <w:sz w:val="28"/>
          <w:szCs w:val="36"/>
        </w:rPr>
        <w:t>我</w:t>
      </w:r>
      <w:r>
        <w:rPr>
          <w:rStyle w:val="18"/>
          <w:rFonts w:hint="eastAsia" w:ascii="仿宋_GB2312" w:hAnsi="楷体" w:eastAsia="仿宋_GB2312"/>
          <w:b w:val="0"/>
          <w:spacing w:val="-4"/>
          <w:sz w:val="28"/>
          <w:szCs w:val="28"/>
        </w:rPr>
        <w:t>单位</w:t>
      </w:r>
      <w:r>
        <w:rPr>
          <w:rFonts w:hint="eastAsia" w:ascii="仿宋_GB2312" w:eastAsia="仿宋_GB2312"/>
          <w:sz w:val="28"/>
          <w:szCs w:val="36"/>
        </w:rPr>
        <w:t>严格按照财政部门预算编制与预算调整的工作要求，在预算编制、分配依据充分的条件下，切实做好“先定目标再编预算”，确保预算分配结果合理。同时按照特克斯县财政局有关要求，部门预算及绩效目标在特克斯县公共信息服务网站公开，</w:t>
      </w:r>
      <w:r>
        <w:rPr>
          <w:rFonts w:ascii="仿宋_GB2312" w:eastAsia="仿宋_GB2312"/>
          <w:sz w:val="28"/>
          <w:szCs w:val="36"/>
          <w:lang w:val="zh-CN"/>
        </w:rPr>
        <w:t>广泛接受社会监督</w:t>
      </w:r>
      <w:r>
        <w:rPr>
          <w:rFonts w:hint="eastAsia" w:ascii="仿宋_GB2312" w:eastAsia="仿宋_GB2312"/>
          <w:sz w:val="28"/>
          <w:szCs w:val="36"/>
          <w:lang w:val="zh-CN"/>
        </w:rPr>
        <w:t>。</w:t>
      </w:r>
    </w:p>
    <w:p>
      <w:pPr>
        <w:pStyle w:val="2"/>
        <w:numPr>
          <w:ilvl w:val="2"/>
          <w:numId w:val="0"/>
        </w:numPr>
        <w:spacing w:line="360" w:lineRule="auto"/>
        <w:ind w:leftChars="200"/>
        <w:rPr>
          <w:rStyle w:val="18"/>
          <w:rFonts w:ascii="仿宋" w:hAnsi="仿宋" w:eastAsia="仿宋"/>
          <w:b/>
          <w:bCs/>
        </w:rPr>
      </w:pPr>
      <w:bookmarkStart w:id="12" w:name="_Toc70450300"/>
      <w:r>
        <w:rPr>
          <w:rStyle w:val="18"/>
          <w:rFonts w:hint="eastAsia" w:ascii="仿宋" w:hAnsi="仿宋" w:eastAsia="仿宋"/>
          <w:b/>
          <w:bCs/>
        </w:rPr>
        <w:t>2</w:t>
      </w:r>
      <w:r>
        <w:rPr>
          <w:rStyle w:val="18"/>
          <w:rFonts w:ascii="仿宋" w:hAnsi="仿宋" w:eastAsia="仿宋"/>
          <w:b/>
          <w:bCs/>
        </w:rPr>
        <w:t>、预算</w:t>
      </w:r>
      <w:r>
        <w:rPr>
          <w:rStyle w:val="18"/>
          <w:rFonts w:hint="eastAsia" w:ascii="仿宋" w:hAnsi="仿宋" w:eastAsia="仿宋"/>
          <w:b/>
          <w:bCs/>
        </w:rPr>
        <w:t>支出</w:t>
      </w:r>
      <w:r>
        <w:rPr>
          <w:rStyle w:val="18"/>
          <w:rFonts w:ascii="仿宋" w:hAnsi="仿宋" w:eastAsia="仿宋"/>
          <w:b/>
          <w:bCs/>
        </w:rPr>
        <w:t>管理</w:t>
      </w:r>
      <w:bookmarkEnd w:id="12"/>
    </w:p>
    <w:p>
      <w:pPr>
        <w:spacing w:line="360" w:lineRule="auto"/>
        <w:ind w:firstLine="560" w:firstLineChars="200"/>
        <w:rPr>
          <w:rStyle w:val="18"/>
          <w:b w:val="0"/>
          <w:bCs w:val="0"/>
        </w:rPr>
      </w:pPr>
      <w:r>
        <w:rPr>
          <w:rFonts w:hint="eastAsia" w:ascii="仿宋_GB2312" w:eastAsia="仿宋_GB2312"/>
          <w:sz w:val="28"/>
          <w:szCs w:val="36"/>
        </w:rPr>
        <w:t>我</w:t>
      </w:r>
      <w:r>
        <w:rPr>
          <w:rStyle w:val="18"/>
          <w:rFonts w:hint="eastAsia" w:ascii="仿宋_GB2312" w:hAnsi="楷体" w:eastAsia="仿宋_GB2312"/>
          <w:b w:val="0"/>
          <w:spacing w:val="-4"/>
          <w:sz w:val="28"/>
          <w:szCs w:val="28"/>
        </w:rPr>
        <w:t>单位</w:t>
      </w:r>
      <w:r>
        <w:rPr>
          <w:rFonts w:hint="eastAsia" w:ascii="仿宋_GB2312" w:eastAsia="仿宋_GB2312"/>
          <w:sz w:val="28"/>
          <w:szCs w:val="36"/>
        </w:rPr>
        <w:t>按照财政要求基本支出分月度申报资金使用计划，由财政部门按照进度每月按期拨付，人员支出按照工资计划发放工资；依照相关规定和特克斯县人力资源和社会保障局规定流程，资金支出按照我内控体系中设定的流程申报审批进行；项目支出属于政府采购的，按照局特克斯县人力资源和社会保障局《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8"/>
          <w:b/>
          <w:bCs/>
          <w:sz w:val="28"/>
          <w:szCs w:val="28"/>
        </w:rPr>
      </w:pPr>
      <w:bookmarkStart w:id="13" w:name="_Toc70450301"/>
      <w:r>
        <w:rPr>
          <w:rStyle w:val="18"/>
          <w:rFonts w:hint="eastAsia"/>
          <w:b/>
          <w:bCs/>
          <w:sz w:val="28"/>
          <w:szCs w:val="28"/>
        </w:rPr>
        <w:t>（二）基本支出管理及使用情况</w:t>
      </w:r>
      <w:bookmarkEnd w:id="13"/>
    </w:p>
    <w:p>
      <w:pPr>
        <w:rPr>
          <w:highlight w:val="none"/>
        </w:rPr>
      </w:pPr>
      <w:r>
        <w:rPr>
          <w:rStyle w:val="18"/>
          <w:rFonts w:hint="eastAsia" w:ascii="仿宋_GB2312" w:hAnsi="楷体" w:eastAsia="仿宋_GB2312"/>
          <w:b w:val="0"/>
          <w:spacing w:val="-4"/>
          <w:sz w:val="28"/>
          <w:szCs w:val="28"/>
          <w:highlight w:val="none"/>
        </w:rPr>
        <w:t>2021年基本支出预算安排740万元，实际到位740万元,实际支出740万元，占总支出的</w:t>
      </w:r>
      <w:r>
        <w:rPr>
          <w:rStyle w:val="18"/>
          <w:rFonts w:hint="eastAsia" w:ascii="仿宋_GB2312" w:hAnsi="楷体" w:eastAsia="仿宋_GB2312"/>
          <w:b w:val="0"/>
          <w:spacing w:val="-4"/>
          <w:sz w:val="28"/>
          <w:szCs w:val="28"/>
          <w:highlight w:val="none"/>
          <w:lang w:val="en-US" w:eastAsia="zh-CN"/>
        </w:rPr>
        <w:t>7.06</w:t>
      </w:r>
      <w:r>
        <w:rPr>
          <w:rStyle w:val="18"/>
          <w:rFonts w:hint="eastAsia" w:ascii="仿宋_GB2312" w:hAnsi="楷体" w:eastAsia="仿宋_GB2312"/>
          <w:b w:val="0"/>
          <w:spacing w:val="-4"/>
          <w:sz w:val="28"/>
          <w:szCs w:val="28"/>
          <w:highlight w:val="none"/>
        </w:rPr>
        <w:t>％，其中：工资福利支出558.53万元、商品和服务支出132.5万元、对个人和家庭的补助</w:t>
      </w:r>
      <w:r>
        <w:rPr>
          <w:rStyle w:val="18"/>
          <w:rFonts w:hint="eastAsia" w:ascii="仿宋_GB2312" w:hAnsi="楷体" w:eastAsia="仿宋_GB2312"/>
          <w:b w:val="0"/>
          <w:spacing w:val="-4"/>
          <w:sz w:val="28"/>
          <w:szCs w:val="28"/>
          <w:highlight w:val="none"/>
          <w:lang w:val="en-US" w:eastAsia="zh-CN"/>
        </w:rPr>
        <w:t>48.97</w:t>
      </w:r>
      <w:r>
        <w:rPr>
          <w:rStyle w:val="18"/>
          <w:rFonts w:hint="eastAsia" w:ascii="仿宋_GB2312" w:hAnsi="楷体" w:eastAsia="仿宋_GB2312"/>
          <w:b w:val="0"/>
          <w:spacing w:val="-4"/>
          <w:sz w:val="28"/>
          <w:szCs w:val="28"/>
          <w:highlight w:val="none"/>
        </w:rPr>
        <w:t>万元、主要用于在职和离退休人员基本工资、津贴补贴等人员经费</w:t>
      </w:r>
      <w:r>
        <w:rPr>
          <w:rFonts w:hint="eastAsia"/>
          <w:highlight w:val="none"/>
        </w:rPr>
        <w:t>、</w:t>
      </w:r>
      <w:r>
        <w:rPr>
          <w:rStyle w:val="18"/>
          <w:rFonts w:hint="eastAsia" w:ascii="仿宋_GB2312" w:hAnsi="楷体" w:eastAsia="仿宋_GB2312"/>
          <w:b w:val="0"/>
          <w:spacing w:val="-4"/>
          <w:sz w:val="28"/>
          <w:szCs w:val="28"/>
          <w:highlight w:val="none"/>
        </w:rPr>
        <w:t>办公费、水电费、邮电费、差旅费、工会经费、公务用车运行费</w:t>
      </w:r>
      <w:r>
        <w:rPr>
          <w:rFonts w:hint="eastAsia"/>
          <w:highlight w:val="none"/>
        </w:rPr>
        <w:t>、</w:t>
      </w:r>
      <w:r>
        <w:rPr>
          <w:rStyle w:val="18"/>
          <w:rFonts w:hint="eastAsia" w:ascii="仿宋_GB2312" w:hAnsi="楷体" w:eastAsia="仿宋_GB2312"/>
          <w:b w:val="0"/>
          <w:spacing w:val="-4"/>
          <w:sz w:val="28"/>
          <w:szCs w:val="28"/>
          <w:highlight w:val="none"/>
        </w:rPr>
        <w:t>退休费、生活补助、奖励金等支出。</w:t>
      </w:r>
    </w:p>
    <w:p>
      <w:pPr>
        <w:rPr>
          <w:rStyle w:val="18"/>
          <w:rFonts w:hint="eastAsia" w:ascii="仿宋_GB2312" w:hAnsi="楷体" w:eastAsia="仿宋_GB2312" w:cs="Times New Roman"/>
          <w:b w:val="0"/>
          <w:spacing w:val="-4"/>
          <w:sz w:val="28"/>
          <w:szCs w:val="28"/>
          <w:highlight w:val="none"/>
        </w:rPr>
      </w:pPr>
      <w:r>
        <w:rPr>
          <w:rStyle w:val="18"/>
          <w:rFonts w:hint="eastAsia" w:ascii="仿宋_GB2312" w:hAnsi="楷体" w:eastAsia="仿宋_GB2312" w:cs="Times New Roman"/>
          <w:b w:val="0"/>
          <w:spacing w:val="-4"/>
          <w:sz w:val="28"/>
          <w:szCs w:val="28"/>
          <w:highlight w:val="none"/>
        </w:rPr>
        <w:t>2021年基本支出比上年643.22万元,增加96.78 万元，上升</w:t>
      </w:r>
      <w:r>
        <w:rPr>
          <w:rStyle w:val="18"/>
          <w:rFonts w:hint="eastAsia" w:ascii="仿宋_GB2312" w:hAnsi="楷体" w:eastAsia="仿宋_GB2312" w:cs="Times New Roman"/>
          <w:b w:val="0"/>
          <w:spacing w:val="-4"/>
          <w:sz w:val="28"/>
          <w:szCs w:val="28"/>
          <w:highlight w:val="none"/>
          <w:lang w:val="en-US" w:eastAsia="zh-CN"/>
        </w:rPr>
        <w:t>15.05</w:t>
      </w:r>
      <w:r>
        <w:rPr>
          <w:rStyle w:val="18"/>
          <w:rFonts w:hint="eastAsia" w:ascii="仿宋_GB2312" w:hAnsi="楷体" w:eastAsia="仿宋_GB2312" w:cs="Times New Roman"/>
          <w:b w:val="0"/>
          <w:spacing w:val="-4"/>
          <w:sz w:val="28"/>
          <w:szCs w:val="28"/>
          <w:highlight w:val="none"/>
        </w:rPr>
        <w:t>%，支出上升的主要原因是本年发放三年的绩效考核奖励金及综合治理奖励金，人员工资正常升级，工资调整等 。</w:t>
      </w:r>
    </w:p>
    <w:p>
      <w:pPr>
        <w:spacing w:line="360" w:lineRule="auto"/>
        <w:ind w:firstLine="492" w:firstLineChars="181"/>
        <w:rPr>
          <w:rStyle w:val="18"/>
          <w:rFonts w:ascii="仿宋_GB2312" w:hAnsi="楷体" w:eastAsia="仿宋_GB2312"/>
          <w:b w:val="0"/>
          <w:spacing w:val="-4"/>
          <w:sz w:val="28"/>
          <w:szCs w:val="28"/>
        </w:rPr>
      </w:pPr>
      <w:r>
        <w:rPr>
          <w:rStyle w:val="18"/>
          <w:rFonts w:ascii="仿宋_GB2312" w:hAnsi="楷体" w:eastAsia="仿宋_GB2312"/>
          <w:b w:val="0"/>
          <w:spacing w:val="-4"/>
          <w:sz w:val="28"/>
          <w:szCs w:val="28"/>
        </w:rPr>
        <w:t>2021</w:t>
      </w:r>
      <w:r>
        <w:rPr>
          <w:rStyle w:val="18"/>
          <w:rFonts w:hint="eastAsia" w:ascii="仿宋_GB2312" w:hAnsi="楷体" w:eastAsia="仿宋_GB2312"/>
          <w:b w:val="0"/>
          <w:spacing w:val="-4"/>
          <w:sz w:val="28"/>
          <w:szCs w:val="28"/>
        </w:rPr>
        <w:t>年一般公共预算“三公”经费数为0.8万元，其中：因公出国（境）费 0万元，公务用车购置0万元，公务用车运行费0.8万元，公务接待费0万元。</w:t>
      </w:r>
    </w:p>
    <w:p>
      <w:pPr>
        <w:spacing w:line="360" w:lineRule="auto"/>
        <w:ind w:firstLine="492" w:firstLineChars="181"/>
        <w:rPr>
          <w:rStyle w:val="18"/>
          <w:rFonts w:ascii="仿宋_GB2312" w:hAnsi="楷体" w:eastAsia="仿宋_GB2312"/>
          <w:b w:val="0"/>
          <w:spacing w:val="-4"/>
          <w:sz w:val="28"/>
          <w:szCs w:val="28"/>
        </w:rPr>
      </w:pPr>
      <w:r>
        <w:rPr>
          <w:rStyle w:val="18"/>
          <w:rFonts w:ascii="仿宋_GB2312" w:hAnsi="楷体" w:eastAsia="仿宋_GB2312"/>
          <w:b w:val="0"/>
          <w:spacing w:val="-4"/>
          <w:sz w:val="28"/>
          <w:szCs w:val="28"/>
        </w:rPr>
        <w:t>2021</w:t>
      </w:r>
      <w:r>
        <w:rPr>
          <w:rStyle w:val="18"/>
          <w:rFonts w:hint="eastAsia" w:ascii="仿宋_GB2312" w:hAnsi="楷体" w:eastAsia="仿宋_GB2312"/>
          <w:b w:val="0"/>
          <w:spacing w:val="-4"/>
          <w:sz w:val="28"/>
          <w:szCs w:val="28"/>
        </w:rPr>
        <w:t>年一般公共预算“三公”经费比上年增加0万元，其中：因公出国（境）费增加0万元，主要原因是未安排预算；公务用车购置费为0，未安排预算；公务用车运行费增加0万元，主要原因是未安排预算；公务接待费增加</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万元，主要原因是未安排预算。</w:t>
      </w:r>
    </w:p>
    <w:p>
      <w:pPr>
        <w:pStyle w:val="4"/>
        <w:spacing w:line="360" w:lineRule="auto"/>
        <w:rPr>
          <w:rStyle w:val="18"/>
          <w:rFonts w:ascii="仿宋" w:hAnsi="仿宋" w:eastAsia="仿宋"/>
          <w:b/>
          <w:bCs/>
        </w:rPr>
      </w:pPr>
      <w:bookmarkStart w:id="14" w:name="_Toc70450302"/>
      <w:r>
        <w:rPr>
          <w:rStyle w:val="18"/>
          <w:rFonts w:hint="eastAsia" w:ascii="仿宋" w:hAnsi="仿宋" w:eastAsia="仿宋"/>
          <w:b/>
          <w:bCs/>
        </w:rPr>
        <w:t>（三）专项支出管理及使用情况</w:t>
      </w:r>
      <w:bookmarkEnd w:id="14"/>
    </w:p>
    <w:p>
      <w:pPr>
        <w:pStyle w:val="2"/>
        <w:numPr>
          <w:ilvl w:val="2"/>
          <w:numId w:val="0"/>
        </w:numPr>
        <w:spacing w:line="360" w:lineRule="auto"/>
        <w:ind w:leftChars="200"/>
        <w:rPr>
          <w:rStyle w:val="18"/>
          <w:rFonts w:ascii="仿宋" w:hAnsi="仿宋" w:eastAsia="仿宋"/>
          <w:b/>
          <w:bCs/>
        </w:rPr>
      </w:pPr>
      <w:bookmarkStart w:id="15" w:name="_Toc70450303"/>
      <w:r>
        <w:rPr>
          <w:rStyle w:val="18"/>
          <w:rFonts w:hint="eastAsia" w:ascii="仿宋" w:hAnsi="仿宋" w:eastAsia="仿宋"/>
          <w:b/>
          <w:bCs/>
        </w:rPr>
        <w:t>1、专项资金安排落实、总投入等情况分析</w:t>
      </w:r>
      <w:bookmarkEnd w:id="15"/>
    </w:p>
    <w:p>
      <w:pPr>
        <w:spacing w:line="360" w:lineRule="auto"/>
        <w:ind w:firstLine="492" w:firstLineChars="181"/>
        <w:rPr>
          <w:rStyle w:val="18"/>
          <w:rFonts w:hint="eastAsia" w:ascii="仿宋_GB2312" w:hAnsi="楷体" w:eastAsia="仿宋_GB2312"/>
          <w:b w:val="0"/>
          <w:spacing w:val="-4"/>
          <w:sz w:val="28"/>
          <w:szCs w:val="28"/>
          <w:highlight w:val="none"/>
          <w:lang w:eastAsia="zh-CN"/>
        </w:rPr>
      </w:pPr>
      <w:r>
        <w:rPr>
          <w:rStyle w:val="18"/>
          <w:rFonts w:ascii="仿宋_GB2312" w:hAnsi="楷体" w:eastAsia="仿宋_GB2312"/>
          <w:b w:val="0"/>
          <w:spacing w:val="-4"/>
          <w:sz w:val="28"/>
          <w:szCs w:val="28"/>
          <w:highlight w:val="none"/>
        </w:rPr>
        <w:t>2021</w:t>
      </w:r>
      <w:r>
        <w:rPr>
          <w:rStyle w:val="18"/>
          <w:rFonts w:hint="eastAsia" w:ascii="仿宋_GB2312" w:hAnsi="楷体" w:eastAsia="仿宋_GB2312"/>
          <w:b w:val="0"/>
          <w:spacing w:val="-4"/>
          <w:sz w:val="28"/>
          <w:szCs w:val="28"/>
          <w:highlight w:val="none"/>
        </w:rPr>
        <w:t>年预算安排专项资金</w:t>
      </w:r>
      <w:r>
        <w:rPr>
          <w:rStyle w:val="18"/>
          <w:rFonts w:hint="eastAsia" w:ascii="仿宋_GB2312" w:hAnsi="楷体" w:eastAsia="仿宋_GB2312"/>
          <w:b w:val="0"/>
          <w:spacing w:val="-4"/>
          <w:sz w:val="28"/>
          <w:szCs w:val="28"/>
          <w:highlight w:val="none"/>
          <w:lang w:val="en-US" w:eastAsia="zh-CN"/>
        </w:rPr>
        <w:t>9742.42</w:t>
      </w:r>
      <w:r>
        <w:rPr>
          <w:rStyle w:val="18"/>
          <w:rFonts w:hint="eastAsia" w:ascii="仿宋_GB2312" w:hAnsi="楷体" w:eastAsia="仿宋_GB2312"/>
          <w:b w:val="0"/>
          <w:spacing w:val="-4"/>
          <w:sz w:val="28"/>
          <w:szCs w:val="28"/>
          <w:highlight w:val="none"/>
        </w:rPr>
        <w:t>万元，实际到位</w:t>
      </w:r>
      <w:r>
        <w:rPr>
          <w:rStyle w:val="18"/>
          <w:rFonts w:hint="eastAsia" w:ascii="仿宋_GB2312" w:hAnsi="楷体" w:eastAsia="仿宋_GB2312"/>
          <w:b w:val="0"/>
          <w:spacing w:val="-4"/>
          <w:sz w:val="28"/>
          <w:szCs w:val="28"/>
          <w:highlight w:val="none"/>
          <w:lang w:val="en-US" w:eastAsia="zh-CN"/>
        </w:rPr>
        <w:t>9742.42</w:t>
      </w:r>
      <w:r>
        <w:rPr>
          <w:rStyle w:val="18"/>
          <w:rFonts w:hint="eastAsia" w:ascii="仿宋_GB2312" w:hAnsi="楷体" w:eastAsia="仿宋_GB2312"/>
          <w:b w:val="0"/>
          <w:spacing w:val="-4"/>
          <w:sz w:val="28"/>
          <w:szCs w:val="28"/>
          <w:highlight w:val="none"/>
        </w:rPr>
        <w:t>万元,</w:t>
      </w:r>
      <w:r>
        <w:rPr>
          <w:rFonts w:hint="eastAsia"/>
          <w:highlight w:val="none"/>
        </w:rPr>
        <w:t xml:space="preserve"> </w:t>
      </w:r>
      <w:r>
        <w:rPr>
          <w:rStyle w:val="18"/>
          <w:rFonts w:hint="eastAsia" w:ascii="仿宋_GB2312" w:hAnsi="楷体" w:eastAsia="仿宋_GB2312"/>
          <w:b w:val="0"/>
          <w:spacing w:val="-4"/>
          <w:sz w:val="28"/>
          <w:szCs w:val="28"/>
          <w:highlight w:val="none"/>
        </w:rPr>
        <w:t>到位率100％,其中:其中:中央转移支付项目资金</w:t>
      </w:r>
      <w:r>
        <w:rPr>
          <w:rStyle w:val="18"/>
          <w:rFonts w:hint="eastAsia" w:ascii="仿宋_GB2312" w:hAnsi="楷体" w:eastAsia="仿宋_GB2312"/>
          <w:b w:val="0"/>
          <w:spacing w:val="-4"/>
          <w:sz w:val="28"/>
          <w:szCs w:val="28"/>
          <w:highlight w:val="none"/>
          <w:lang w:val="en-US" w:eastAsia="zh-CN"/>
        </w:rPr>
        <w:t>3319.17</w:t>
      </w:r>
      <w:r>
        <w:rPr>
          <w:rStyle w:val="18"/>
          <w:rFonts w:hint="eastAsia" w:ascii="仿宋_GB2312" w:hAnsi="楷体" w:eastAsia="仿宋_GB2312"/>
          <w:b w:val="0"/>
          <w:spacing w:val="-4"/>
          <w:sz w:val="28"/>
          <w:szCs w:val="28"/>
          <w:highlight w:val="none"/>
        </w:rPr>
        <w:t>万元，自治区资金</w:t>
      </w:r>
      <w:r>
        <w:rPr>
          <w:rStyle w:val="18"/>
          <w:rFonts w:hint="eastAsia" w:ascii="仿宋_GB2312" w:hAnsi="楷体" w:eastAsia="仿宋_GB2312"/>
          <w:b w:val="0"/>
          <w:spacing w:val="-4"/>
          <w:sz w:val="28"/>
          <w:szCs w:val="28"/>
          <w:highlight w:val="none"/>
          <w:lang w:val="en-US" w:eastAsia="zh-CN"/>
        </w:rPr>
        <w:t>453.25</w:t>
      </w:r>
      <w:r>
        <w:rPr>
          <w:rStyle w:val="18"/>
          <w:rFonts w:hint="eastAsia" w:ascii="仿宋_GB2312" w:hAnsi="楷体" w:eastAsia="仿宋_GB2312"/>
          <w:b w:val="0"/>
          <w:spacing w:val="-4"/>
          <w:sz w:val="28"/>
          <w:szCs w:val="28"/>
          <w:highlight w:val="none"/>
        </w:rPr>
        <w:t>万元，本级安排</w:t>
      </w:r>
      <w:r>
        <w:rPr>
          <w:rStyle w:val="18"/>
          <w:rFonts w:hint="eastAsia" w:ascii="仿宋_GB2312" w:hAnsi="楷体" w:eastAsia="仿宋_GB2312"/>
          <w:b w:val="0"/>
          <w:spacing w:val="-4"/>
          <w:sz w:val="28"/>
          <w:szCs w:val="28"/>
          <w:highlight w:val="none"/>
          <w:lang w:val="en-US" w:eastAsia="zh-CN"/>
        </w:rPr>
        <w:t>5970</w:t>
      </w:r>
      <w:r>
        <w:rPr>
          <w:rStyle w:val="18"/>
          <w:rFonts w:hint="eastAsia" w:ascii="仿宋_GB2312" w:hAnsi="楷体" w:eastAsia="仿宋_GB2312"/>
          <w:b w:val="0"/>
          <w:spacing w:val="-4"/>
          <w:sz w:val="28"/>
          <w:szCs w:val="28"/>
          <w:highlight w:val="none"/>
        </w:rPr>
        <w:t>万元</w:t>
      </w:r>
      <w:r>
        <w:rPr>
          <w:rStyle w:val="18"/>
          <w:rFonts w:hint="eastAsia" w:ascii="仿宋_GB2312" w:hAnsi="楷体" w:eastAsia="仿宋_GB2312"/>
          <w:b w:val="0"/>
          <w:spacing w:val="-4"/>
          <w:sz w:val="28"/>
          <w:szCs w:val="28"/>
          <w:highlight w:val="none"/>
          <w:lang w:eastAsia="zh-CN"/>
        </w:rPr>
        <w:t>。</w:t>
      </w:r>
    </w:p>
    <w:p>
      <w:pPr>
        <w:pStyle w:val="2"/>
        <w:numPr>
          <w:ilvl w:val="2"/>
          <w:numId w:val="0"/>
        </w:numPr>
        <w:spacing w:line="360" w:lineRule="auto"/>
        <w:ind w:leftChars="200"/>
        <w:rPr>
          <w:rStyle w:val="18"/>
          <w:rFonts w:ascii="仿宋" w:hAnsi="仿宋" w:eastAsia="仿宋"/>
          <w:b/>
          <w:bCs/>
        </w:rPr>
      </w:pPr>
      <w:bookmarkStart w:id="16" w:name="_Toc70450304"/>
      <w:r>
        <w:rPr>
          <w:rStyle w:val="18"/>
          <w:rFonts w:hint="eastAsia" w:ascii="仿宋" w:hAnsi="仿宋" w:eastAsia="仿宋"/>
          <w:b/>
          <w:bCs/>
        </w:rPr>
        <w:t>2、专项资金实际使用情况</w:t>
      </w:r>
      <w:bookmarkEnd w:id="16"/>
    </w:p>
    <w:p>
      <w:pPr>
        <w:spacing w:line="360" w:lineRule="auto"/>
        <w:ind w:firstLine="492" w:firstLineChars="181"/>
        <w:rPr>
          <w:rStyle w:val="18"/>
          <w:rFonts w:hint="eastAsia" w:ascii="仿宋_GB2312" w:hAnsi="楷体" w:eastAsia="仿宋_GB2312"/>
          <w:b w:val="0"/>
          <w:spacing w:val="-4"/>
          <w:sz w:val="28"/>
          <w:szCs w:val="28"/>
          <w:highlight w:val="none"/>
        </w:rPr>
      </w:pPr>
      <w:r>
        <w:rPr>
          <w:rStyle w:val="18"/>
          <w:rFonts w:hint="eastAsia" w:ascii="仿宋_GB2312" w:hAnsi="楷体" w:eastAsia="仿宋_GB2312"/>
          <w:b w:val="0"/>
          <w:spacing w:val="-4"/>
          <w:sz w:val="28"/>
          <w:szCs w:val="28"/>
          <w:highlight w:val="none"/>
        </w:rPr>
        <w:t>2021年专项资金支出</w:t>
      </w:r>
      <w:r>
        <w:rPr>
          <w:rStyle w:val="18"/>
          <w:rFonts w:hint="eastAsia" w:ascii="仿宋_GB2312" w:hAnsi="楷体" w:eastAsia="仿宋_GB2312"/>
          <w:b w:val="0"/>
          <w:spacing w:val="-4"/>
          <w:sz w:val="28"/>
          <w:szCs w:val="28"/>
          <w:highlight w:val="none"/>
          <w:lang w:val="en-US" w:eastAsia="zh-CN"/>
        </w:rPr>
        <w:t>9742.42</w:t>
      </w:r>
      <w:r>
        <w:rPr>
          <w:rStyle w:val="18"/>
          <w:rFonts w:hint="eastAsia" w:ascii="仿宋_GB2312" w:hAnsi="楷体" w:eastAsia="仿宋_GB2312"/>
          <w:b w:val="0"/>
          <w:spacing w:val="-4"/>
          <w:sz w:val="28"/>
          <w:szCs w:val="28"/>
          <w:highlight w:val="none"/>
        </w:rPr>
        <w:t>万元，占总支出的</w:t>
      </w:r>
      <w:r>
        <w:rPr>
          <w:rStyle w:val="18"/>
          <w:rFonts w:hint="eastAsia" w:ascii="仿宋_GB2312" w:hAnsi="楷体" w:eastAsia="仿宋_GB2312"/>
          <w:b w:val="0"/>
          <w:spacing w:val="-4"/>
          <w:sz w:val="28"/>
          <w:szCs w:val="28"/>
          <w:highlight w:val="none"/>
          <w:lang w:val="en-US" w:eastAsia="zh-CN"/>
        </w:rPr>
        <w:t>92.94</w:t>
      </w:r>
      <w:r>
        <w:rPr>
          <w:rStyle w:val="18"/>
          <w:rFonts w:hint="eastAsia" w:ascii="仿宋_GB2312" w:hAnsi="楷体" w:eastAsia="仿宋_GB2312"/>
          <w:b w:val="0"/>
          <w:spacing w:val="-4"/>
          <w:sz w:val="28"/>
          <w:szCs w:val="28"/>
          <w:highlight w:val="none"/>
        </w:rPr>
        <w:t>%，其中2021年专项项目支出比上年</w:t>
      </w:r>
      <w:r>
        <w:rPr>
          <w:rStyle w:val="18"/>
          <w:rFonts w:hint="eastAsia" w:ascii="仿宋_GB2312" w:hAnsi="楷体" w:eastAsia="仿宋_GB2312"/>
          <w:b w:val="0"/>
          <w:spacing w:val="-4"/>
          <w:sz w:val="28"/>
          <w:szCs w:val="28"/>
          <w:highlight w:val="none"/>
          <w:lang w:val="en-US" w:eastAsia="zh-CN"/>
        </w:rPr>
        <w:t>7188.28</w:t>
      </w:r>
      <w:r>
        <w:rPr>
          <w:rStyle w:val="18"/>
          <w:rFonts w:hint="eastAsia" w:ascii="仿宋_GB2312" w:hAnsi="楷体" w:eastAsia="仿宋_GB2312"/>
          <w:b w:val="0"/>
          <w:spacing w:val="-4"/>
          <w:sz w:val="28"/>
          <w:szCs w:val="28"/>
          <w:highlight w:val="none"/>
        </w:rPr>
        <w:t>万元，</w:t>
      </w:r>
      <w:r>
        <w:rPr>
          <w:rStyle w:val="18"/>
          <w:rFonts w:hint="eastAsia" w:ascii="仿宋_GB2312" w:hAnsi="楷体" w:eastAsia="仿宋_GB2312"/>
          <w:b w:val="0"/>
          <w:spacing w:val="-4"/>
          <w:sz w:val="28"/>
          <w:szCs w:val="28"/>
          <w:highlight w:val="none"/>
          <w:lang w:val="en-US" w:eastAsia="zh-CN"/>
        </w:rPr>
        <w:t>增加8360.12</w:t>
      </w:r>
      <w:r>
        <w:rPr>
          <w:rStyle w:val="18"/>
          <w:rFonts w:hint="eastAsia" w:ascii="仿宋_GB2312" w:hAnsi="楷体" w:eastAsia="仿宋_GB2312"/>
          <w:b w:val="0"/>
          <w:spacing w:val="-4"/>
          <w:sz w:val="28"/>
          <w:szCs w:val="28"/>
          <w:highlight w:val="none"/>
        </w:rPr>
        <w:t>万元，</w:t>
      </w:r>
      <w:r>
        <w:rPr>
          <w:rStyle w:val="18"/>
          <w:rFonts w:hint="eastAsia" w:ascii="仿宋_GB2312" w:hAnsi="楷体" w:eastAsia="仿宋_GB2312"/>
          <w:b w:val="0"/>
          <w:spacing w:val="-4"/>
          <w:sz w:val="28"/>
          <w:szCs w:val="28"/>
          <w:highlight w:val="none"/>
          <w:lang w:val="en-US" w:eastAsia="zh-CN"/>
        </w:rPr>
        <w:t>上升393.92</w:t>
      </w:r>
      <w:r>
        <w:rPr>
          <w:rStyle w:val="18"/>
          <w:rFonts w:hint="eastAsia" w:ascii="仿宋_GB2312" w:hAnsi="楷体" w:eastAsia="仿宋_GB2312"/>
          <w:b w:val="0"/>
          <w:spacing w:val="-4"/>
          <w:sz w:val="28"/>
          <w:szCs w:val="28"/>
          <w:highlight w:val="none"/>
        </w:rPr>
        <w:t>%。支出</w:t>
      </w:r>
      <w:r>
        <w:rPr>
          <w:rStyle w:val="18"/>
          <w:rFonts w:hint="eastAsia" w:ascii="仿宋_GB2312" w:hAnsi="楷体" w:eastAsia="仿宋_GB2312"/>
          <w:b w:val="0"/>
          <w:spacing w:val="-4"/>
          <w:sz w:val="28"/>
          <w:szCs w:val="28"/>
          <w:highlight w:val="none"/>
          <w:lang w:val="en-US" w:eastAsia="zh-CN"/>
        </w:rPr>
        <w:t>增加</w:t>
      </w:r>
      <w:r>
        <w:rPr>
          <w:rStyle w:val="18"/>
          <w:rFonts w:hint="eastAsia" w:ascii="仿宋_GB2312" w:hAnsi="楷体" w:eastAsia="仿宋_GB2312"/>
          <w:b w:val="0"/>
          <w:spacing w:val="-4"/>
          <w:sz w:val="28"/>
          <w:szCs w:val="28"/>
          <w:highlight w:val="none"/>
        </w:rPr>
        <w:t>的主要原因是本年度</w:t>
      </w:r>
      <w:r>
        <w:rPr>
          <w:rStyle w:val="18"/>
          <w:rFonts w:hint="eastAsia" w:ascii="仿宋_GB2312" w:hAnsi="楷体" w:eastAsia="仿宋_GB2312"/>
          <w:b w:val="0"/>
          <w:spacing w:val="-4"/>
          <w:sz w:val="28"/>
          <w:szCs w:val="28"/>
          <w:highlight w:val="none"/>
          <w:lang w:val="en-US" w:eastAsia="zh-CN"/>
        </w:rPr>
        <w:t>社会保险保障基金专项资金纳入本年决算数据</w:t>
      </w:r>
      <w:r>
        <w:rPr>
          <w:rStyle w:val="18"/>
          <w:rFonts w:hint="eastAsia" w:ascii="仿宋_GB2312" w:hAnsi="楷体" w:eastAsia="仿宋_GB2312"/>
          <w:b w:val="0"/>
          <w:spacing w:val="-4"/>
          <w:sz w:val="28"/>
          <w:szCs w:val="28"/>
          <w:highlight w:val="none"/>
        </w:rPr>
        <w:t>。</w:t>
      </w:r>
      <w:bookmarkStart w:id="17" w:name="_Toc70450305"/>
      <w:r>
        <w:rPr>
          <w:rStyle w:val="18"/>
          <w:rFonts w:hint="eastAsia" w:ascii="仿宋_GB2312" w:hAnsi="楷体" w:eastAsia="仿宋_GB2312"/>
          <w:b w:val="0"/>
          <w:spacing w:val="-4"/>
          <w:sz w:val="28"/>
          <w:szCs w:val="28"/>
          <w:highlight w:val="none"/>
        </w:rPr>
        <w:t>其中：全区企业基本养老保险扩面项目安排</w:t>
      </w:r>
      <w:r>
        <w:rPr>
          <w:rStyle w:val="18"/>
          <w:rFonts w:hint="eastAsia" w:ascii="仿宋_GB2312" w:hAnsi="楷体" w:eastAsia="仿宋_GB2312"/>
          <w:b w:val="0"/>
          <w:spacing w:val="-4"/>
          <w:sz w:val="28"/>
          <w:szCs w:val="28"/>
          <w:highlight w:val="none"/>
          <w:lang w:val="en-US" w:eastAsia="zh-CN"/>
        </w:rPr>
        <w:t>0.</w:t>
      </w:r>
      <w:r>
        <w:rPr>
          <w:rStyle w:val="18"/>
          <w:rFonts w:hint="eastAsia" w:ascii="仿宋_GB2312" w:hAnsi="楷体" w:eastAsia="仿宋_GB2312"/>
          <w:b w:val="0"/>
          <w:spacing w:val="-4"/>
          <w:sz w:val="28"/>
          <w:szCs w:val="28"/>
          <w:highlight w:val="none"/>
        </w:rPr>
        <w:t>5万元，主要用于完成扩面基本养老保险经费及补助等支出，其他就业补助资金项目安排1199.89万元，主要用于发放职业培训及技能鉴定补贴、企业用人及灵活就业社保补贴、公益性岗位补贴、公益性岗位社保补贴、就业见习补贴、“三支一扶”社保补贴、企业社保返还、灵活性就业补贴、就业援助金、求职创业补贴、自主创业补贴等支出；其他普惠金融发展资金项目安排93万元，主要用于小额担保贷款贴息等支出；高校毕业生“三支一扶”中央补助资金项目安排27.03万元，主要用于高校毕业生“三支一扶”工作生活补贴、安家费补助等支出。</w:t>
      </w:r>
    </w:p>
    <w:p>
      <w:pPr>
        <w:spacing w:line="360" w:lineRule="auto"/>
        <w:ind w:firstLine="509" w:firstLineChars="181"/>
        <w:rPr>
          <w:rStyle w:val="18"/>
          <w:rFonts w:ascii="仿宋" w:hAnsi="仿宋" w:eastAsia="仿宋" w:cstheme="majorBidi"/>
          <w:sz w:val="28"/>
          <w:szCs w:val="28"/>
        </w:rPr>
      </w:pPr>
      <w:r>
        <w:rPr>
          <w:rStyle w:val="18"/>
          <w:rFonts w:hint="eastAsia" w:ascii="仿宋" w:hAnsi="仿宋" w:eastAsia="仿宋" w:cstheme="majorBidi"/>
          <w:sz w:val="28"/>
          <w:szCs w:val="28"/>
        </w:rPr>
        <w:t>3、专项资金管理情况</w:t>
      </w:r>
      <w:bookmarkEnd w:id="17"/>
    </w:p>
    <w:p>
      <w:pPr>
        <w:spacing w:line="360" w:lineRule="auto"/>
        <w:ind w:firstLine="492" w:firstLineChars="181"/>
        <w:rPr>
          <w:rStyle w:val="18"/>
          <w:rFonts w:hint="eastAsia" w:ascii="仿宋_GB2312" w:hAnsi="楷体" w:eastAsia="仿宋_GB2312" w:cs="Times New Roman"/>
          <w:b w:val="0"/>
          <w:spacing w:val="-4"/>
          <w:sz w:val="28"/>
          <w:szCs w:val="28"/>
          <w:highlight w:val="none"/>
        </w:rPr>
      </w:pPr>
      <w:r>
        <w:rPr>
          <w:rStyle w:val="18"/>
          <w:rFonts w:hint="eastAsia" w:ascii="仿宋_GB2312" w:hAnsi="楷体" w:eastAsia="仿宋_GB2312" w:cs="Times New Roman"/>
          <w:b w:val="0"/>
          <w:spacing w:val="-4"/>
          <w:sz w:val="28"/>
          <w:szCs w:val="28"/>
          <w:highlight w:val="none"/>
        </w:rPr>
        <w:t>为规范专项资金使用，提高专项资金使用效益，严格按照《新疆维吾尔自治区就业资金管理暂行办法》新财社【2018】241号，《关于转发财政部、人社部关于城乡居民基本养老保险中央财政补助资金管理有关问题的通知》新财社【2016】7号和《关于强化城乡居民养老保险补助资金监督管理的通知》（新财社【2018】203号）的文件，伊犁州“三支一扶”计划补助资金监管细则等规定执行。</w:t>
      </w:r>
    </w:p>
    <w:p>
      <w:pPr>
        <w:pStyle w:val="7"/>
        <w:spacing w:line="360" w:lineRule="auto"/>
        <w:rPr>
          <w:rFonts w:ascii="仿宋" w:hAnsi="仿宋" w:eastAsia="仿宋"/>
          <w:sz w:val="36"/>
          <w:szCs w:val="36"/>
        </w:rPr>
      </w:pPr>
      <w:bookmarkStart w:id="18" w:name="_Toc70450306"/>
      <w:r>
        <w:rPr>
          <w:rFonts w:hint="eastAsia" w:ascii="仿宋" w:hAnsi="仿宋" w:eastAsia="仿宋"/>
          <w:sz w:val="36"/>
          <w:szCs w:val="36"/>
        </w:rPr>
        <w:t>三、部门单位专项组织实施情况</w:t>
      </w:r>
      <w:bookmarkEnd w:id="18"/>
    </w:p>
    <w:p>
      <w:pPr>
        <w:pStyle w:val="2"/>
        <w:numPr>
          <w:ilvl w:val="0"/>
          <w:numId w:val="2"/>
        </w:numPr>
        <w:spacing w:line="360" w:lineRule="auto"/>
        <w:rPr>
          <w:rStyle w:val="18"/>
          <w:rFonts w:ascii="仿宋" w:hAnsi="仿宋" w:eastAsia="仿宋"/>
          <w:b/>
          <w:bCs/>
        </w:rPr>
      </w:pPr>
      <w:bookmarkStart w:id="19" w:name="_Toc70450308"/>
      <w:r>
        <w:rPr>
          <w:rStyle w:val="18"/>
          <w:rFonts w:hint="eastAsia" w:ascii="仿宋" w:hAnsi="仿宋" w:eastAsia="仿宋"/>
          <w:b/>
          <w:bCs/>
        </w:rPr>
        <w:t>专项组织情况分析</w:t>
      </w:r>
      <w:bookmarkEnd w:id="19"/>
    </w:p>
    <w:p>
      <w:pPr>
        <w:snapToGrid w:val="0"/>
        <w:spacing w:line="360" w:lineRule="auto"/>
        <w:ind w:firstLine="544" w:firstLineChars="200"/>
        <w:rPr>
          <w:rStyle w:val="18"/>
          <w:rFonts w:ascii="仿宋_GB2312" w:hAnsi="楷体" w:eastAsia="仿宋_GB2312"/>
          <w:b w:val="0"/>
          <w:bCs w:val="0"/>
          <w:spacing w:val="-4"/>
          <w:sz w:val="28"/>
          <w:szCs w:val="28"/>
        </w:rPr>
      </w:pPr>
      <w:r>
        <w:rPr>
          <w:rStyle w:val="18"/>
          <w:rFonts w:hint="eastAsia" w:ascii="仿宋_GB2312" w:hAnsi="楷体" w:eastAsia="仿宋_GB2312"/>
          <w:b w:val="0"/>
          <w:bCs w:val="0"/>
          <w:spacing w:val="-4"/>
          <w:sz w:val="28"/>
          <w:szCs w:val="28"/>
        </w:rPr>
        <w:t>1、前期准备</w:t>
      </w:r>
    </w:p>
    <w:p>
      <w:pPr>
        <w:snapToGrid w:val="0"/>
        <w:spacing w:line="360" w:lineRule="auto"/>
        <w:ind w:firstLine="544" w:firstLineChars="200"/>
        <w:rPr>
          <w:rStyle w:val="18"/>
          <w:rFonts w:ascii="仿宋_GB2312" w:hAnsi="楷体" w:eastAsia="仿宋_GB2312"/>
          <w:b w:val="0"/>
          <w:bCs w:val="0"/>
          <w:spacing w:val="-4"/>
          <w:sz w:val="28"/>
          <w:szCs w:val="28"/>
        </w:rPr>
      </w:pPr>
      <w:r>
        <w:rPr>
          <w:rStyle w:val="18"/>
          <w:rFonts w:hint="eastAsia" w:ascii="仿宋_GB2312" w:hAnsi="楷体" w:eastAsia="仿宋_GB2312"/>
          <w:b w:val="0"/>
          <w:bCs w:val="0"/>
          <w:spacing w:val="-4"/>
          <w:sz w:val="28"/>
          <w:szCs w:val="28"/>
        </w:rPr>
        <w:t>年初我单位下发的就业补助资金、城乡居民基本养老保险基金的补助、机关事业单位养老保险补助资金等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w:t>
      </w:r>
      <w:r>
        <w:rPr>
          <w:rStyle w:val="18"/>
          <w:rFonts w:ascii="仿宋_GB2312" w:hAnsi="楷体" w:eastAsia="仿宋_GB2312"/>
          <w:b w:val="0"/>
          <w:bCs w:val="0"/>
          <w:spacing w:val="-4"/>
          <w:sz w:val="28"/>
          <w:szCs w:val="28"/>
        </w:rPr>
        <w:t>1</w:t>
      </w:r>
      <w:r>
        <w:rPr>
          <w:rStyle w:val="18"/>
          <w:rFonts w:hint="eastAsia" w:ascii="仿宋_GB2312" w:hAnsi="楷体" w:eastAsia="仿宋_GB2312"/>
          <w:b w:val="0"/>
          <w:bCs w:val="0"/>
          <w:spacing w:val="-4"/>
          <w:sz w:val="28"/>
          <w:szCs w:val="28"/>
        </w:rPr>
        <w:t>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snapToGrid w:val="0"/>
        <w:spacing w:line="360" w:lineRule="auto"/>
        <w:ind w:firstLine="544" w:firstLineChars="200"/>
        <w:rPr>
          <w:rStyle w:val="18"/>
          <w:rFonts w:ascii="仿宋_GB2312" w:hAnsi="楷体" w:eastAsia="仿宋_GB2312"/>
          <w:b w:val="0"/>
          <w:bCs w:val="0"/>
          <w:spacing w:val="-4"/>
          <w:sz w:val="28"/>
          <w:szCs w:val="28"/>
        </w:rPr>
      </w:pPr>
      <w:r>
        <w:rPr>
          <w:rStyle w:val="18"/>
          <w:rFonts w:hint="eastAsia" w:ascii="仿宋_GB2312" w:hAnsi="楷体" w:eastAsia="仿宋_GB2312"/>
          <w:b w:val="0"/>
          <w:bCs w:val="0"/>
          <w:spacing w:val="-4"/>
          <w:sz w:val="28"/>
          <w:szCs w:val="28"/>
        </w:rPr>
        <w:t>2、组织实施</w:t>
      </w:r>
    </w:p>
    <w:p>
      <w:pPr>
        <w:snapToGrid w:val="0"/>
        <w:spacing w:line="360" w:lineRule="auto"/>
        <w:ind w:firstLine="544" w:firstLineChars="200"/>
        <w:rPr>
          <w:rStyle w:val="18"/>
          <w:rFonts w:ascii="仿宋_GB2312" w:hAnsi="楷体" w:eastAsia="仿宋_GB2312"/>
          <w:b w:val="0"/>
          <w:bCs w:val="0"/>
          <w:spacing w:val="-4"/>
          <w:sz w:val="28"/>
          <w:szCs w:val="28"/>
        </w:rPr>
      </w:pPr>
      <w:r>
        <w:rPr>
          <w:rStyle w:val="18"/>
          <w:rFonts w:hint="eastAsia" w:ascii="仿宋_GB2312" w:hAnsi="楷体" w:eastAsia="仿宋_GB2312"/>
          <w:b w:val="0"/>
          <w:bCs w:val="0"/>
          <w:spacing w:val="-4"/>
          <w:sz w:val="28"/>
          <w:szCs w:val="28"/>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p>
    <w:p>
      <w:pPr>
        <w:snapToGrid w:val="0"/>
        <w:spacing w:line="360" w:lineRule="auto"/>
        <w:ind w:firstLine="544" w:firstLineChars="200"/>
        <w:rPr>
          <w:rStyle w:val="18"/>
          <w:rFonts w:ascii="仿宋_GB2312" w:hAnsi="楷体" w:eastAsia="仿宋_GB2312"/>
          <w:b w:val="0"/>
          <w:bCs w:val="0"/>
          <w:spacing w:val="-4"/>
          <w:sz w:val="28"/>
          <w:szCs w:val="28"/>
        </w:rPr>
      </w:pPr>
      <w:r>
        <w:rPr>
          <w:rStyle w:val="18"/>
          <w:rFonts w:hint="eastAsia" w:ascii="仿宋_GB2312" w:hAnsi="楷体" w:eastAsia="仿宋_GB2312"/>
          <w:b w:val="0"/>
          <w:bCs w:val="0"/>
          <w:spacing w:val="-4"/>
          <w:sz w:val="28"/>
          <w:szCs w:val="28"/>
        </w:rPr>
        <w:t>一是对专项项目预算执行情况进行分析，再考察专项项目产出、项目目标的实现程度和管理有效性，从而总结项目取得的业绩和经验，发现项目存在的不足之处。</w:t>
      </w:r>
    </w:p>
    <w:p>
      <w:pPr>
        <w:snapToGrid w:val="0"/>
        <w:spacing w:line="360" w:lineRule="auto"/>
        <w:ind w:firstLine="544" w:firstLineChars="200"/>
        <w:rPr>
          <w:rStyle w:val="18"/>
          <w:rFonts w:ascii="仿宋_GB2312" w:hAnsi="楷体" w:eastAsia="仿宋_GB2312"/>
          <w:b w:val="0"/>
          <w:bCs w:val="0"/>
          <w:spacing w:val="-4"/>
          <w:sz w:val="28"/>
          <w:szCs w:val="28"/>
        </w:rPr>
      </w:pPr>
      <w:r>
        <w:rPr>
          <w:rStyle w:val="18"/>
          <w:rFonts w:hint="eastAsia" w:ascii="仿宋_GB2312" w:hAnsi="楷体" w:eastAsia="仿宋_GB2312"/>
          <w:b w:val="0"/>
          <w:bCs w:val="0"/>
          <w:spacing w:val="-4"/>
          <w:sz w:val="28"/>
          <w:szCs w:val="28"/>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p>
    <w:p>
      <w:pPr>
        <w:spacing w:line="360" w:lineRule="auto"/>
        <w:ind w:firstLine="544" w:firstLineChars="200"/>
        <w:rPr>
          <w:rStyle w:val="18"/>
          <w:rFonts w:hint="eastAsia" w:ascii="仿宋_GB2312" w:hAnsi="楷体" w:eastAsia="仿宋_GB2312"/>
          <w:b w:val="0"/>
          <w:bCs w:val="0"/>
          <w:spacing w:val="-4"/>
          <w:sz w:val="28"/>
          <w:szCs w:val="28"/>
        </w:rPr>
      </w:pPr>
      <w:r>
        <w:rPr>
          <w:rStyle w:val="18"/>
          <w:rFonts w:hint="eastAsia" w:ascii="仿宋_GB2312" w:hAnsi="楷体" w:eastAsia="仿宋_GB2312"/>
          <w:b w:val="0"/>
          <w:bCs w:val="0"/>
          <w:spacing w:val="-4"/>
          <w:sz w:val="28"/>
          <w:szCs w:val="28"/>
        </w:rPr>
        <w:t>截止12月31日，该专项均按照时间计划保质、保量完成。</w:t>
      </w:r>
    </w:p>
    <w:p>
      <w:pPr>
        <w:pStyle w:val="2"/>
        <w:numPr>
          <w:ilvl w:val="0"/>
          <w:numId w:val="0"/>
        </w:numPr>
        <w:spacing w:line="360" w:lineRule="auto"/>
        <w:ind w:left="562" w:leftChars="0"/>
        <w:rPr>
          <w:rStyle w:val="18"/>
          <w:rFonts w:hint="eastAsia" w:ascii="仿宋_GB2312" w:hAnsi="楷体" w:eastAsia="仿宋_GB2312"/>
          <w:b w:val="0"/>
          <w:bCs w:val="0"/>
          <w:spacing w:val="-4"/>
          <w:sz w:val="28"/>
          <w:szCs w:val="28"/>
        </w:rPr>
      </w:pPr>
      <w:bookmarkStart w:id="20" w:name="_Toc70450309"/>
      <w:r>
        <w:rPr>
          <w:rStyle w:val="18"/>
          <w:rFonts w:hint="eastAsia" w:ascii="仿宋" w:hAnsi="仿宋" w:eastAsia="仿宋" w:cstheme="minorBidi"/>
          <w:b/>
          <w:bCs/>
          <w:lang w:eastAsia="zh-CN"/>
        </w:rPr>
        <w:t>（</w:t>
      </w:r>
      <w:r>
        <w:rPr>
          <w:rStyle w:val="18"/>
          <w:rFonts w:hint="eastAsia" w:ascii="仿宋" w:hAnsi="仿宋" w:eastAsia="仿宋" w:cstheme="minorBidi"/>
          <w:b/>
          <w:bCs/>
          <w:lang w:val="en-US" w:eastAsia="zh-CN"/>
        </w:rPr>
        <w:t>二</w:t>
      </w:r>
      <w:r>
        <w:rPr>
          <w:rStyle w:val="18"/>
          <w:rFonts w:hint="eastAsia" w:ascii="仿宋" w:hAnsi="仿宋" w:eastAsia="仿宋" w:cstheme="minorBidi"/>
          <w:b/>
          <w:bCs/>
          <w:lang w:eastAsia="zh-CN"/>
        </w:rPr>
        <w:t>）</w:t>
      </w:r>
      <w:r>
        <w:rPr>
          <w:rStyle w:val="18"/>
          <w:rFonts w:hint="eastAsia" w:ascii="仿宋" w:hAnsi="仿宋" w:eastAsia="仿宋" w:cstheme="minorBidi"/>
          <w:b/>
          <w:bCs/>
        </w:rPr>
        <w:t>专项管</w:t>
      </w:r>
      <w:r>
        <w:rPr>
          <w:rStyle w:val="18"/>
          <w:rFonts w:hint="eastAsia" w:ascii="仿宋" w:hAnsi="仿宋" w:eastAsia="仿宋"/>
          <w:b/>
          <w:bCs/>
        </w:rPr>
        <w:t>理情况分析</w:t>
      </w:r>
      <w:bookmarkEnd w:id="20"/>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1、资金到位及使用情况</w:t>
      </w:r>
    </w:p>
    <w:p>
      <w:pPr>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楷体" w:eastAsia="仿宋_GB2312"/>
          <w:b w:val="0"/>
          <w:spacing w:val="-4"/>
          <w:sz w:val="28"/>
          <w:szCs w:val="28"/>
          <w:highlight w:val="none"/>
        </w:rPr>
        <w:t>2</w:t>
      </w:r>
      <w:r>
        <w:rPr>
          <w:rStyle w:val="18"/>
          <w:rFonts w:ascii="仿宋_GB2312" w:hAnsi="楷体" w:eastAsia="仿宋_GB2312"/>
          <w:b w:val="0"/>
          <w:spacing w:val="-4"/>
          <w:sz w:val="28"/>
          <w:szCs w:val="28"/>
          <w:highlight w:val="none"/>
        </w:rPr>
        <w:t>021</w:t>
      </w:r>
      <w:r>
        <w:rPr>
          <w:rStyle w:val="18"/>
          <w:rFonts w:hint="eastAsia" w:ascii="仿宋_GB2312" w:hAnsi="楷体" w:eastAsia="仿宋_GB2312"/>
          <w:b w:val="0"/>
          <w:spacing w:val="-4"/>
          <w:sz w:val="28"/>
          <w:szCs w:val="28"/>
          <w:highlight w:val="none"/>
        </w:rPr>
        <w:t>年涉及专项资金</w:t>
      </w:r>
      <w:r>
        <w:rPr>
          <w:rStyle w:val="18"/>
          <w:rFonts w:hint="eastAsia" w:ascii="仿宋_GB2312" w:hAnsi="楷体" w:eastAsia="仿宋_GB2312"/>
          <w:b w:val="0"/>
          <w:spacing w:val="-4"/>
          <w:sz w:val="28"/>
          <w:szCs w:val="28"/>
          <w:highlight w:val="none"/>
          <w:lang w:val="en-US" w:eastAsia="zh-CN"/>
        </w:rPr>
        <w:t>9742.42</w:t>
      </w:r>
      <w:r>
        <w:rPr>
          <w:rStyle w:val="18"/>
          <w:rFonts w:hint="eastAsia" w:ascii="仿宋_GB2312" w:hAnsi="楷体" w:eastAsia="仿宋_GB2312"/>
          <w:b w:val="0"/>
          <w:spacing w:val="-4"/>
          <w:sz w:val="28"/>
          <w:szCs w:val="28"/>
          <w:highlight w:val="none"/>
        </w:rPr>
        <w:t>万元，实际到位</w:t>
      </w:r>
      <w:r>
        <w:rPr>
          <w:rStyle w:val="18"/>
          <w:rFonts w:hint="eastAsia" w:ascii="仿宋_GB2312" w:hAnsi="楷体" w:eastAsia="仿宋_GB2312"/>
          <w:b w:val="0"/>
          <w:spacing w:val="-4"/>
          <w:sz w:val="28"/>
          <w:szCs w:val="28"/>
          <w:highlight w:val="none"/>
          <w:lang w:val="en-US" w:eastAsia="zh-CN"/>
        </w:rPr>
        <w:t>9742.42</w:t>
      </w:r>
      <w:r>
        <w:rPr>
          <w:rStyle w:val="18"/>
          <w:rFonts w:hint="eastAsia" w:ascii="仿宋_GB2312" w:hAnsi="楷体" w:eastAsia="仿宋_GB2312"/>
          <w:b w:val="0"/>
          <w:spacing w:val="-4"/>
          <w:sz w:val="28"/>
          <w:szCs w:val="28"/>
          <w:highlight w:val="none"/>
        </w:rPr>
        <w:t>万元，资金到位率100%。截止到</w:t>
      </w:r>
      <w:r>
        <w:rPr>
          <w:rStyle w:val="18"/>
          <w:rFonts w:ascii="仿宋_GB2312" w:hAnsi="楷体" w:eastAsia="仿宋_GB2312"/>
          <w:b w:val="0"/>
          <w:spacing w:val="-4"/>
          <w:sz w:val="28"/>
          <w:szCs w:val="28"/>
          <w:highlight w:val="none"/>
        </w:rPr>
        <w:t>2021</w:t>
      </w:r>
      <w:r>
        <w:rPr>
          <w:rStyle w:val="18"/>
          <w:rFonts w:hint="eastAsia" w:ascii="仿宋_GB2312" w:hAnsi="楷体" w:eastAsia="仿宋_GB2312"/>
          <w:b w:val="0"/>
          <w:spacing w:val="-4"/>
          <w:sz w:val="28"/>
          <w:szCs w:val="28"/>
          <w:highlight w:val="none"/>
        </w:rPr>
        <w:t>年1</w:t>
      </w:r>
      <w:r>
        <w:rPr>
          <w:rStyle w:val="18"/>
          <w:rFonts w:ascii="仿宋_GB2312" w:hAnsi="楷体" w:eastAsia="仿宋_GB2312"/>
          <w:b w:val="0"/>
          <w:spacing w:val="-4"/>
          <w:sz w:val="28"/>
          <w:szCs w:val="28"/>
          <w:highlight w:val="none"/>
        </w:rPr>
        <w:t>2</w:t>
      </w:r>
      <w:r>
        <w:rPr>
          <w:rStyle w:val="18"/>
          <w:rFonts w:hint="eastAsia" w:ascii="仿宋_GB2312" w:hAnsi="楷体" w:eastAsia="仿宋_GB2312"/>
          <w:b w:val="0"/>
          <w:spacing w:val="-4"/>
          <w:sz w:val="28"/>
          <w:szCs w:val="28"/>
          <w:highlight w:val="none"/>
        </w:rPr>
        <w:t>月31日执行</w:t>
      </w:r>
      <w:r>
        <w:rPr>
          <w:rStyle w:val="18"/>
          <w:rFonts w:hint="eastAsia" w:ascii="仿宋_GB2312" w:hAnsi="楷体" w:eastAsia="仿宋_GB2312"/>
          <w:b w:val="0"/>
          <w:spacing w:val="-4"/>
          <w:sz w:val="28"/>
          <w:szCs w:val="28"/>
          <w:highlight w:val="none"/>
          <w:lang w:val="en-US" w:eastAsia="zh-CN"/>
        </w:rPr>
        <w:t>9742.42</w:t>
      </w:r>
      <w:r>
        <w:rPr>
          <w:rStyle w:val="18"/>
          <w:rFonts w:hint="eastAsia" w:ascii="仿宋_GB2312" w:hAnsi="楷体" w:eastAsia="仿宋_GB2312"/>
          <w:b w:val="0"/>
          <w:spacing w:val="-4"/>
          <w:sz w:val="28"/>
          <w:szCs w:val="28"/>
          <w:highlight w:val="none"/>
        </w:rPr>
        <w:t>万元，执行率100%。其中：20</w:t>
      </w:r>
      <w:r>
        <w:rPr>
          <w:rStyle w:val="18"/>
          <w:rFonts w:ascii="仿宋_GB2312" w:hAnsi="楷体" w:eastAsia="仿宋_GB2312"/>
          <w:b w:val="0"/>
          <w:spacing w:val="-4"/>
          <w:sz w:val="28"/>
          <w:szCs w:val="28"/>
          <w:highlight w:val="none"/>
        </w:rPr>
        <w:t>21</w:t>
      </w:r>
      <w:r>
        <w:rPr>
          <w:rStyle w:val="18"/>
          <w:rFonts w:hint="eastAsia" w:ascii="仿宋_GB2312" w:hAnsi="楷体" w:eastAsia="仿宋_GB2312"/>
          <w:b w:val="0"/>
          <w:spacing w:val="-4"/>
          <w:sz w:val="28"/>
          <w:szCs w:val="28"/>
          <w:highlight w:val="none"/>
        </w:rPr>
        <w:t>年结转专项资金0万元，实际执行</w:t>
      </w:r>
      <w:r>
        <w:rPr>
          <w:rStyle w:val="18"/>
          <w:rFonts w:hint="eastAsia" w:ascii="仿宋_GB2312" w:hAnsi="楷体" w:eastAsia="仿宋_GB2312"/>
          <w:b w:val="0"/>
          <w:spacing w:val="-4"/>
          <w:sz w:val="28"/>
          <w:szCs w:val="28"/>
          <w:highlight w:val="none"/>
          <w:lang w:val="en-US" w:eastAsia="zh-CN"/>
        </w:rPr>
        <w:t>0</w:t>
      </w:r>
      <w:r>
        <w:rPr>
          <w:rStyle w:val="18"/>
          <w:rFonts w:hint="eastAsia" w:ascii="仿宋_GB2312" w:hAnsi="楷体" w:eastAsia="仿宋_GB2312"/>
          <w:b w:val="0"/>
          <w:spacing w:val="-4"/>
          <w:sz w:val="28"/>
          <w:szCs w:val="28"/>
          <w:highlight w:val="none"/>
        </w:rPr>
        <w:t>万元，执行率为100%；202</w:t>
      </w:r>
      <w:r>
        <w:rPr>
          <w:rStyle w:val="18"/>
          <w:rFonts w:ascii="仿宋_GB2312" w:hAnsi="楷体" w:eastAsia="仿宋_GB2312"/>
          <w:b w:val="0"/>
          <w:spacing w:val="-4"/>
          <w:sz w:val="28"/>
          <w:szCs w:val="28"/>
          <w:highlight w:val="none"/>
        </w:rPr>
        <w:t>1</w:t>
      </w:r>
      <w:r>
        <w:rPr>
          <w:rStyle w:val="18"/>
          <w:rFonts w:hint="eastAsia" w:ascii="仿宋_GB2312" w:hAnsi="楷体" w:eastAsia="仿宋_GB2312"/>
          <w:b w:val="0"/>
          <w:spacing w:val="-4"/>
          <w:sz w:val="28"/>
          <w:szCs w:val="28"/>
          <w:highlight w:val="none"/>
        </w:rPr>
        <w:t>年新增专项资金</w:t>
      </w:r>
      <w:r>
        <w:rPr>
          <w:rStyle w:val="18"/>
          <w:rFonts w:hint="eastAsia" w:ascii="仿宋_GB2312" w:hAnsi="楷体" w:eastAsia="仿宋_GB2312"/>
          <w:b w:val="0"/>
          <w:spacing w:val="-4"/>
          <w:sz w:val="28"/>
          <w:szCs w:val="28"/>
          <w:highlight w:val="none"/>
          <w:lang w:val="en-US" w:eastAsia="zh-CN"/>
        </w:rPr>
        <w:t>9742.42</w:t>
      </w:r>
      <w:r>
        <w:rPr>
          <w:rStyle w:val="18"/>
          <w:rFonts w:hint="eastAsia" w:ascii="仿宋_GB2312" w:hAnsi="楷体" w:eastAsia="仿宋_GB2312"/>
          <w:b w:val="0"/>
          <w:spacing w:val="-4"/>
          <w:sz w:val="28"/>
          <w:szCs w:val="28"/>
          <w:highlight w:val="none"/>
        </w:rPr>
        <w:t>万元，实际执行</w:t>
      </w:r>
      <w:r>
        <w:rPr>
          <w:rStyle w:val="18"/>
          <w:rFonts w:hint="eastAsia" w:ascii="仿宋_GB2312" w:hAnsi="楷体" w:eastAsia="仿宋_GB2312"/>
          <w:b w:val="0"/>
          <w:spacing w:val="-4"/>
          <w:sz w:val="28"/>
          <w:szCs w:val="28"/>
          <w:highlight w:val="none"/>
          <w:lang w:val="en-US" w:eastAsia="zh-CN"/>
        </w:rPr>
        <w:t>9742.42</w:t>
      </w:r>
      <w:r>
        <w:rPr>
          <w:rStyle w:val="18"/>
          <w:rFonts w:hint="eastAsia" w:ascii="仿宋_GB2312" w:hAnsi="楷体" w:eastAsia="仿宋_GB2312"/>
          <w:b w:val="0"/>
          <w:spacing w:val="-4"/>
          <w:sz w:val="28"/>
          <w:szCs w:val="28"/>
          <w:highlight w:val="none"/>
        </w:rPr>
        <w:t>万元，执行率为</w:t>
      </w:r>
      <w:r>
        <w:rPr>
          <w:rStyle w:val="18"/>
          <w:rFonts w:hint="eastAsia" w:ascii="仿宋_GB2312" w:hAnsi="楷体" w:eastAsia="仿宋_GB2312"/>
          <w:b w:val="0"/>
          <w:spacing w:val="-4"/>
          <w:sz w:val="28"/>
          <w:szCs w:val="28"/>
          <w:highlight w:val="none"/>
          <w:lang w:val="en-US" w:eastAsia="zh-CN"/>
        </w:rPr>
        <w:t>100</w:t>
      </w:r>
      <w:r>
        <w:rPr>
          <w:rStyle w:val="18"/>
          <w:rFonts w:hint="eastAsia" w:ascii="仿宋_GB2312" w:hAnsi="楷体" w:eastAsia="仿宋_GB2312"/>
          <w:b w:val="0"/>
          <w:spacing w:val="-4"/>
          <w:sz w:val="28"/>
          <w:szCs w:val="28"/>
          <w:highlight w:val="none"/>
        </w:rPr>
        <w:t>%。</w:t>
      </w:r>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2、资金管理情况</w:t>
      </w:r>
    </w:p>
    <w:p>
      <w:pPr>
        <w:spacing w:line="360" w:lineRule="auto"/>
        <w:ind w:firstLine="544" w:firstLineChars="200"/>
        <w:rPr>
          <w:rStyle w:val="18"/>
          <w:rFonts w:hint="eastAsia" w:ascii="仿宋_GB2312" w:hAnsi="楷体" w:eastAsia="仿宋_GB2312"/>
          <w:b w:val="0"/>
          <w:spacing w:val="-4"/>
          <w:sz w:val="28"/>
          <w:szCs w:val="28"/>
        </w:rPr>
      </w:pPr>
      <w:r>
        <w:rPr>
          <w:rStyle w:val="18"/>
          <w:rFonts w:hint="eastAsia" w:ascii="仿宋_GB2312" w:hAnsi="楷体" w:eastAsia="仿宋_GB2312"/>
          <w:b w:val="0"/>
          <w:spacing w:val="-4"/>
          <w:sz w:val="28"/>
          <w:szCs w:val="28"/>
          <w:lang w:val="en-US" w:eastAsia="zh-CN"/>
        </w:rPr>
        <w:t>我单位</w:t>
      </w:r>
      <w:r>
        <w:rPr>
          <w:rStyle w:val="18"/>
          <w:rFonts w:hint="eastAsia" w:ascii="仿宋_GB2312" w:hAnsi="楷体" w:eastAsia="仿宋_GB2312"/>
          <w:b w:val="0"/>
          <w:spacing w:val="-4"/>
          <w:sz w:val="28"/>
          <w:szCs w:val="28"/>
        </w:rPr>
        <w:t>严格按照《新疆维吾尔自治区就业资金管理暂行办法》新财社【2018】241号，《关于转发财政部、人社部关于城乡居民基本养老保险中央财政补助资金管理有关问题的通知》新财社【2016】7号和《关于强化城乡居民养老保险补助资金监督管理的通知》（新财社【2018】203号）的文件，关于下发《伊犁州“三支一扶”计划补助资金监管细则》的通知的文件精神要求，加强对专项资金的绩效管理，确保专款专用，提高专项资金使用效益。遵守相关法律法规，严肃财经纪律，自觉接受财政、审计、监察监督检查。</w:t>
      </w:r>
    </w:p>
    <w:p>
      <w:pPr>
        <w:pStyle w:val="2"/>
        <w:numPr>
          <w:ilvl w:val="2"/>
          <w:numId w:val="0"/>
        </w:numPr>
        <w:spacing w:line="360" w:lineRule="auto"/>
        <w:ind w:left="562" w:leftChars="0"/>
        <w:rPr>
          <w:rStyle w:val="18"/>
          <w:rFonts w:ascii="仿宋" w:hAnsi="仿宋" w:eastAsia="仿宋"/>
          <w:b/>
          <w:bCs/>
        </w:rPr>
      </w:pPr>
      <w:r>
        <w:rPr>
          <w:rStyle w:val="18"/>
          <w:rFonts w:hint="eastAsia" w:ascii="仿宋" w:hAnsi="仿宋" w:eastAsia="仿宋"/>
          <w:b/>
          <w:bCs/>
          <w:lang w:eastAsia="zh-CN"/>
        </w:rPr>
        <w:t>（</w:t>
      </w:r>
      <w:r>
        <w:rPr>
          <w:rStyle w:val="18"/>
          <w:rFonts w:hint="eastAsia" w:ascii="仿宋" w:hAnsi="仿宋" w:eastAsia="仿宋"/>
          <w:b/>
          <w:bCs/>
          <w:lang w:val="en-US" w:eastAsia="zh-CN"/>
        </w:rPr>
        <w:t>三</w:t>
      </w:r>
      <w:r>
        <w:rPr>
          <w:rStyle w:val="18"/>
          <w:rFonts w:hint="eastAsia" w:ascii="仿宋" w:hAnsi="仿宋" w:eastAsia="仿宋"/>
          <w:b/>
          <w:bCs/>
          <w:lang w:eastAsia="zh-CN"/>
        </w:rPr>
        <w:t>）</w:t>
      </w:r>
      <w:r>
        <w:rPr>
          <w:rStyle w:val="18"/>
          <w:rFonts w:hint="eastAsia" w:ascii="仿宋" w:hAnsi="仿宋" w:eastAsia="仿宋"/>
          <w:b/>
          <w:bCs/>
        </w:rPr>
        <w:t>项目实施情况分析</w:t>
      </w:r>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1</w:t>
      </w:r>
      <w:r>
        <w:rPr>
          <w:rStyle w:val="18"/>
          <w:rFonts w:ascii="仿宋_GB2312" w:hAnsi="楷体" w:eastAsia="仿宋_GB2312"/>
          <w:b w:val="0"/>
          <w:spacing w:val="-4"/>
          <w:sz w:val="28"/>
          <w:szCs w:val="28"/>
        </w:rPr>
        <w:t>、组织情况</w:t>
      </w:r>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特克斯县人力资源和社会保障局</w:t>
      </w:r>
      <w:r>
        <w:rPr>
          <w:rStyle w:val="18"/>
          <w:rFonts w:hint="eastAsia" w:asciiTheme="minorEastAsia" w:hAnsiTheme="minorEastAsia"/>
          <w:bCs w:val="0"/>
          <w:spacing w:val="-4"/>
          <w:sz w:val="28"/>
          <w:szCs w:val="28"/>
        </w:rPr>
        <w:t>，</w:t>
      </w:r>
      <w:r>
        <w:rPr>
          <w:rStyle w:val="18"/>
          <w:rFonts w:hint="eastAsia" w:ascii="仿宋_GB2312" w:hAnsi="楷体" w:eastAsia="仿宋_GB2312"/>
          <w:b w:val="0"/>
          <w:spacing w:val="-4"/>
          <w:sz w:val="28"/>
          <w:szCs w:val="28"/>
        </w:rPr>
        <w:t>根</w:t>
      </w:r>
      <w:r>
        <w:rPr>
          <w:rStyle w:val="18"/>
          <w:rFonts w:hint="eastAsia" w:ascii="仿宋_GB2312" w:hAnsi="楷体" w:eastAsia="仿宋_GB2312"/>
          <w:b w:val="0"/>
          <w:spacing w:val="-4"/>
          <w:sz w:val="28"/>
          <w:szCs w:val="28"/>
          <w:highlight w:val="none"/>
        </w:rPr>
        <w:t>据202</w:t>
      </w:r>
      <w:r>
        <w:rPr>
          <w:rStyle w:val="18"/>
          <w:rFonts w:ascii="仿宋_GB2312" w:hAnsi="楷体" w:eastAsia="仿宋_GB2312"/>
          <w:b w:val="0"/>
          <w:spacing w:val="-4"/>
          <w:sz w:val="28"/>
          <w:szCs w:val="28"/>
          <w:highlight w:val="none"/>
        </w:rPr>
        <w:t>1</w:t>
      </w:r>
      <w:r>
        <w:rPr>
          <w:rStyle w:val="18"/>
          <w:rFonts w:hint="eastAsia" w:ascii="仿宋_GB2312" w:hAnsi="楷体" w:eastAsia="仿宋_GB2312"/>
          <w:b w:val="0"/>
          <w:spacing w:val="-4"/>
          <w:sz w:val="28"/>
          <w:szCs w:val="28"/>
          <w:highlight w:val="none"/>
        </w:rPr>
        <w:t>年</w:t>
      </w:r>
      <w:r>
        <w:rPr>
          <w:rStyle w:val="18"/>
          <w:rFonts w:hint="eastAsia" w:ascii="仿宋_GB2312" w:hAnsi="楷体" w:eastAsia="仿宋_GB2312"/>
          <w:b w:val="0"/>
          <w:spacing w:val="-4"/>
          <w:sz w:val="28"/>
          <w:szCs w:val="28"/>
          <w:highlight w:val="none"/>
          <w:lang w:val="en-US" w:eastAsia="zh-CN"/>
        </w:rPr>
        <w:t>6</w:t>
      </w:r>
      <w:r>
        <w:rPr>
          <w:rStyle w:val="18"/>
          <w:rFonts w:hint="eastAsia" w:ascii="仿宋_GB2312" w:hAnsi="楷体" w:eastAsia="仿宋_GB2312"/>
          <w:b w:val="0"/>
          <w:spacing w:val="-4"/>
          <w:sz w:val="28"/>
          <w:szCs w:val="28"/>
          <w:highlight w:val="none"/>
        </w:rPr>
        <w:t>个项目的绩效目</w:t>
      </w:r>
      <w:r>
        <w:rPr>
          <w:rStyle w:val="18"/>
          <w:rFonts w:hint="eastAsia" w:ascii="仿宋_GB2312" w:hAnsi="楷体" w:eastAsia="仿宋_GB2312"/>
          <w:b w:val="0"/>
          <w:spacing w:val="-4"/>
          <w:sz w:val="28"/>
          <w:szCs w:val="28"/>
        </w:rPr>
        <w:t>标及工作内容，将其细化分工至本单位</w:t>
      </w:r>
      <w:r>
        <w:rPr>
          <w:rStyle w:val="18"/>
          <w:rFonts w:hint="eastAsia" w:ascii="仿宋_GB2312" w:hAnsi="楷体" w:eastAsia="仿宋_GB2312"/>
          <w:b w:val="0"/>
          <w:spacing w:val="-4"/>
          <w:sz w:val="28"/>
          <w:szCs w:val="28"/>
          <w:lang w:val="en-US" w:eastAsia="zh-CN"/>
        </w:rPr>
        <w:t>4</w:t>
      </w:r>
      <w:r>
        <w:rPr>
          <w:rStyle w:val="18"/>
          <w:rFonts w:hint="eastAsia" w:ascii="仿宋_GB2312" w:hAnsi="楷体" w:eastAsia="仿宋_GB2312"/>
          <w:b w:val="0"/>
          <w:spacing w:val="-4"/>
          <w:sz w:val="28"/>
          <w:szCs w:val="28"/>
        </w:rPr>
        <w:t>个科室负责人，加强组织领导，明确分工，各司其职，抓好工作目标任务的落实完成，同时年中要求各科室负责人按照年初预算对本科室绩效工作进行自查自评，并报上半年工作情况总结，</w:t>
      </w:r>
      <w:r>
        <w:rPr>
          <w:rStyle w:val="18"/>
          <w:rFonts w:ascii="仿宋_GB2312" w:hAnsi="楷体" w:eastAsia="仿宋_GB2312"/>
          <w:b w:val="0"/>
          <w:spacing w:val="-4"/>
          <w:sz w:val="28"/>
          <w:szCs w:val="28"/>
        </w:rPr>
        <w:t>5</w:t>
      </w:r>
      <w:r>
        <w:rPr>
          <w:rStyle w:val="18"/>
          <w:rFonts w:hint="eastAsia" w:ascii="仿宋_GB2312" w:hAnsi="楷体" w:eastAsia="仿宋_GB2312"/>
          <w:b w:val="0"/>
          <w:spacing w:val="-4"/>
          <w:sz w:val="28"/>
          <w:szCs w:val="28"/>
        </w:rPr>
        <w:t>月和8月对工作情况进行跟踪检查，确保绩效目标如期实现，不断提高财政资金配置和使用效益。</w:t>
      </w:r>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2</w:t>
      </w:r>
      <w:r>
        <w:rPr>
          <w:rStyle w:val="18"/>
          <w:rFonts w:ascii="仿宋_GB2312" w:hAnsi="楷体" w:eastAsia="仿宋_GB2312"/>
          <w:b w:val="0"/>
          <w:spacing w:val="-4"/>
          <w:sz w:val="28"/>
          <w:szCs w:val="28"/>
        </w:rPr>
        <w:t>、管理情况</w:t>
      </w:r>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特克斯县人力资源和社会保障</w:t>
      </w:r>
      <w:r>
        <w:rPr>
          <w:rStyle w:val="18"/>
          <w:rFonts w:hint="eastAsia" w:ascii="仿宋_GB2312" w:hAnsi="楷体" w:eastAsia="仿宋_GB2312"/>
          <w:b w:val="0"/>
          <w:spacing w:val="-4"/>
          <w:sz w:val="28"/>
          <w:szCs w:val="28"/>
          <w:highlight w:val="none"/>
        </w:rPr>
        <w:t>局，实施的</w:t>
      </w:r>
      <w:r>
        <w:rPr>
          <w:rStyle w:val="18"/>
          <w:rFonts w:hint="eastAsia" w:ascii="仿宋_GB2312" w:hAnsi="楷体" w:eastAsia="仿宋_GB2312"/>
          <w:b w:val="0"/>
          <w:spacing w:val="-4"/>
          <w:sz w:val="28"/>
          <w:szCs w:val="28"/>
          <w:highlight w:val="none"/>
          <w:lang w:val="en-US" w:eastAsia="zh-CN"/>
        </w:rPr>
        <w:t>6</w:t>
      </w:r>
      <w:r>
        <w:rPr>
          <w:rStyle w:val="18"/>
          <w:rFonts w:hint="eastAsia" w:ascii="仿宋_GB2312" w:hAnsi="楷体" w:eastAsia="仿宋_GB2312"/>
          <w:b w:val="0"/>
          <w:spacing w:val="-4"/>
          <w:sz w:val="28"/>
          <w:szCs w:val="28"/>
          <w:highlight w:val="none"/>
        </w:rPr>
        <w:t>个项目，由相</w:t>
      </w:r>
      <w:r>
        <w:rPr>
          <w:rStyle w:val="18"/>
          <w:rFonts w:hint="eastAsia" w:ascii="仿宋_GB2312" w:hAnsi="楷体" w:eastAsia="仿宋_GB2312"/>
          <w:b w:val="0"/>
          <w:spacing w:val="-4"/>
          <w:sz w:val="28"/>
          <w:szCs w:val="28"/>
        </w:rPr>
        <w:t>关业务处室指派专人进行全过程跟踪管理，科室负责人统筹推进项目实施，单位领导不定期对项目进度进行调度，并对项目质量进行控制。</w:t>
      </w:r>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3</w:t>
      </w:r>
      <w:r>
        <w:rPr>
          <w:rStyle w:val="18"/>
          <w:rFonts w:ascii="仿宋_GB2312" w:hAnsi="楷体" w:eastAsia="仿宋_GB2312"/>
          <w:b w:val="0"/>
          <w:spacing w:val="-4"/>
          <w:sz w:val="28"/>
          <w:szCs w:val="28"/>
        </w:rPr>
        <w:t>、监管情况</w:t>
      </w:r>
    </w:p>
    <w:p>
      <w:pPr>
        <w:spacing w:line="360" w:lineRule="auto"/>
        <w:ind w:firstLine="544" w:firstLineChars="200"/>
        <w:rPr>
          <w:rStyle w:val="18"/>
          <w:rFonts w:ascii="仿宋_GB2312" w:hAnsi="楷体" w:eastAsia="仿宋_GB2312"/>
          <w:b w:val="0"/>
          <w:color w:val="auto"/>
          <w:spacing w:val="-4"/>
          <w:sz w:val="28"/>
          <w:szCs w:val="28"/>
        </w:rPr>
      </w:pPr>
      <w:r>
        <w:rPr>
          <w:rStyle w:val="18"/>
          <w:rFonts w:hint="eastAsia" w:ascii="仿宋_GB2312" w:hAnsi="楷体" w:eastAsia="仿宋_GB2312"/>
          <w:b w:val="0"/>
          <w:color w:val="auto"/>
          <w:spacing w:val="-4"/>
          <w:sz w:val="28"/>
          <w:szCs w:val="28"/>
        </w:rPr>
        <w:t>就业科从项目实施方案、项目预算、项目资金使用过程、项目资金支出进度等环节，全过程对项目进行监管，并向单位主要领导报告，以推进项目资金质量，以发挥资金使用效益。</w:t>
      </w:r>
    </w:p>
    <w:p>
      <w:pPr>
        <w:pStyle w:val="2"/>
        <w:numPr>
          <w:ilvl w:val="2"/>
          <w:numId w:val="0"/>
        </w:numPr>
        <w:spacing w:line="360" w:lineRule="auto"/>
        <w:ind w:left="562" w:leftChars="0"/>
        <w:rPr>
          <w:rStyle w:val="18"/>
          <w:rFonts w:ascii="仿宋" w:hAnsi="仿宋" w:eastAsia="仿宋"/>
          <w:b/>
          <w:bCs/>
        </w:rPr>
      </w:pPr>
      <w:r>
        <w:rPr>
          <w:rStyle w:val="18"/>
          <w:rFonts w:hint="eastAsia" w:ascii="仿宋" w:hAnsi="仿宋" w:eastAsia="仿宋"/>
          <w:b/>
          <w:bCs/>
          <w:lang w:val="en-US" w:eastAsia="zh-CN"/>
        </w:rPr>
        <w:t>(四）</w:t>
      </w:r>
      <w:r>
        <w:rPr>
          <w:rStyle w:val="18"/>
          <w:rFonts w:hint="eastAsia" w:ascii="仿宋" w:hAnsi="仿宋" w:eastAsia="仿宋"/>
          <w:b/>
          <w:bCs/>
        </w:rPr>
        <w:t>绩效情况分析</w:t>
      </w:r>
    </w:p>
    <w:p>
      <w:pPr>
        <w:spacing w:line="360" w:lineRule="auto"/>
        <w:ind w:firstLine="544" w:firstLineChars="200"/>
        <w:rPr>
          <w:rStyle w:val="18"/>
          <w:rFonts w:ascii="仿宋_GB2312" w:hAnsi="楷体" w:eastAsia="仿宋_GB2312"/>
          <w:b w:val="0"/>
          <w:bCs w:val="0"/>
          <w:spacing w:val="-4"/>
          <w:sz w:val="28"/>
          <w:szCs w:val="28"/>
        </w:rPr>
      </w:pPr>
      <w:r>
        <w:rPr>
          <w:rStyle w:val="18"/>
          <w:rFonts w:hint="eastAsia" w:ascii="仿宋_GB2312" w:hAnsi="楷体" w:eastAsia="仿宋_GB2312"/>
          <w:b w:val="0"/>
          <w:bCs w:val="0"/>
          <w:spacing w:val="-4"/>
          <w:sz w:val="28"/>
          <w:szCs w:val="28"/>
        </w:rPr>
        <w:t>1</w:t>
      </w:r>
      <w:r>
        <w:rPr>
          <w:rStyle w:val="18"/>
          <w:rFonts w:ascii="仿宋_GB2312" w:hAnsi="楷体" w:eastAsia="仿宋_GB2312"/>
          <w:b w:val="0"/>
          <w:bCs w:val="0"/>
          <w:spacing w:val="-4"/>
          <w:sz w:val="28"/>
          <w:szCs w:val="28"/>
        </w:rPr>
        <w:t>、成本控制情况</w:t>
      </w:r>
    </w:p>
    <w:p>
      <w:pPr>
        <w:ind w:firstLine="544" w:firstLineChars="200"/>
        <w:rPr>
          <w:rStyle w:val="18"/>
          <w:rFonts w:ascii="仿宋_GB2312" w:hAnsi="楷体" w:eastAsia="仿宋_GB2312"/>
          <w:b w:val="0"/>
          <w:spacing w:val="-4"/>
          <w:sz w:val="28"/>
          <w:szCs w:val="28"/>
          <w:highlight w:val="none"/>
        </w:rPr>
      </w:pPr>
      <w:r>
        <w:rPr>
          <w:rStyle w:val="18"/>
          <w:rFonts w:hint="eastAsia" w:ascii="仿宋_GB2312" w:hAnsi="楷体" w:eastAsia="仿宋_GB2312"/>
          <w:b w:val="0"/>
          <w:spacing w:val="-4"/>
          <w:sz w:val="28"/>
          <w:szCs w:val="28"/>
        </w:rPr>
        <w:t>特克斯县人力资源和社会保障局，</w:t>
      </w:r>
      <w:r>
        <w:rPr>
          <w:rStyle w:val="18"/>
          <w:rFonts w:hint="eastAsia" w:ascii="仿宋_GB2312" w:hAnsi="楷体" w:eastAsia="仿宋_GB2312"/>
          <w:b w:val="0"/>
          <w:spacing w:val="-4"/>
          <w:sz w:val="28"/>
          <w:szCs w:val="28"/>
          <w:highlight w:val="none"/>
        </w:rPr>
        <w:t>所涉及专项项目均已于专项资金下达后按照资金文件及绩效管理要求设置《项目绩效目标表》。</w:t>
      </w:r>
      <w:r>
        <w:rPr>
          <w:rStyle w:val="18"/>
          <w:rFonts w:hint="eastAsia" w:ascii="仿宋_GB2312" w:hAnsi="楷体" w:eastAsia="仿宋_GB2312"/>
          <w:b w:val="0"/>
          <w:spacing w:val="-4"/>
          <w:sz w:val="28"/>
          <w:szCs w:val="28"/>
          <w:highlight w:val="none"/>
          <w:lang w:val="en-US" w:eastAsia="zh-CN"/>
        </w:rPr>
        <w:t>6</w:t>
      </w:r>
      <w:r>
        <w:rPr>
          <w:rStyle w:val="18"/>
          <w:rFonts w:hint="eastAsia" w:ascii="仿宋_GB2312" w:hAnsi="楷体" w:eastAsia="仿宋_GB2312"/>
          <w:b w:val="0"/>
          <w:spacing w:val="-4"/>
          <w:sz w:val="28"/>
          <w:szCs w:val="28"/>
          <w:highlight w:val="none"/>
        </w:rPr>
        <w:t>个专项项目预算总额为</w:t>
      </w:r>
      <w:r>
        <w:rPr>
          <w:rStyle w:val="18"/>
          <w:rFonts w:hint="eastAsia" w:ascii="仿宋_GB2312" w:hAnsi="楷体" w:eastAsia="仿宋_GB2312"/>
          <w:b w:val="0"/>
          <w:spacing w:val="-4"/>
          <w:sz w:val="28"/>
          <w:szCs w:val="28"/>
          <w:highlight w:val="none"/>
          <w:lang w:val="en-US" w:eastAsia="zh-CN"/>
        </w:rPr>
        <w:t>9742.42</w:t>
      </w:r>
      <w:r>
        <w:rPr>
          <w:rStyle w:val="18"/>
          <w:rFonts w:hint="eastAsia" w:ascii="仿宋_GB2312" w:hAnsi="楷体" w:eastAsia="仿宋_GB2312"/>
          <w:b w:val="0"/>
          <w:spacing w:val="-4"/>
          <w:sz w:val="28"/>
          <w:szCs w:val="28"/>
          <w:highlight w:val="none"/>
        </w:rPr>
        <w:t>万元，在项目资金使用过程中，业务人员加强专项资金管理，合理控制项目资金适用范围，截止2021年年底，</w:t>
      </w:r>
      <w:r>
        <w:rPr>
          <w:rStyle w:val="18"/>
          <w:rFonts w:hint="eastAsia" w:ascii="仿宋_GB2312" w:hAnsi="楷体" w:eastAsia="仿宋_GB2312"/>
          <w:b w:val="0"/>
          <w:spacing w:val="-4"/>
          <w:sz w:val="28"/>
          <w:szCs w:val="28"/>
          <w:highlight w:val="none"/>
          <w:lang w:val="en-US" w:eastAsia="zh-CN"/>
        </w:rPr>
        <w:t>6</w:t>
      </w:r>
      <w:r>
        <w:rPr>
          <w:rStyle w:val="18"/>
          <w:rFonts w:hint="eastAsia" w:ascii="仿宋_GB2312" w:hAnsi="楷体" w:eastAsia="仿宋_GB2312"/>
          <w:b w:val="0"/>
          <w:spacing w:val="-4"/>
          <w:sz w:val="28"/>
          <w:szCs w:val="28"/>
          <w:highlight w:val="none"/>
        </w:rPr>
        <w:t>个项目资金</w:t>
      </w:r>
      <w:r>
        <w:rPr>
          <w:rStyle w:val="18"/>
          <w:rFonts w:hint="eastAsia" w:ascii="仿宋_GB2312" w:hAnsi="楷体" w:eastAsia="仿宋_GB2312"/>
          <w:b w:val="0"/>
          <w:spacing w:val="-4"/>
          <w:sz w:val="28"/>
          <w:szCs w:val="28"/>
          <w:highlight w:val="none"/>
          <w:lang w:val="en-US" w:eastAsia="zh-CN"/>
        </w:rPr>
        <w:t>9742</w:t>
      </w:r>
      <w:r>
        <w:rPr>
          <w:rStyle w:val="18"/>
          <w:rFonts w:hint="eastAsia" w:ascii="仿宋_GB2312" w:hAnsi="楷体" w:eastAsia="仿宋_GB2312"/>
          <w:b w:val="0"/>
          <w:spacing w:val="-4"/>
          <w:sz w:val="28"/>
          <w:szCs w:val="28"/>
          <w:highlight w:val="none"/>
        </w:rPr>
        <w:t>.42万元，不存在超支情况。</w:t>
      </w:r>
    </w:p>
    <w:p>
      <w:pPr>
        <w:spacing w:line="360" w:lineRule="auto"/>
        <w:ind w:firstLine="544" w:firstLineChars="200"/>
        <w:rPr>
          <w:rStyle w:val="18"/>
          <w:rFonts w:ascii="仿宋_GB2312" w:hAnsi="楷体" w:eastAsia="仿宋_GB2312"/>
          <w:b w:val="0"/>
          <w:bCs w:val="0"/>
          <w:spacing w:val="-4"/>
          <w:sz w:val="28"/>
          <w:szCs w:val="28"/>
        </w:rPr>
      </w:pPr>
      <w:r>
        <w:rPr>
          <w:rStyle w:val="18"/>
          <w:rFonts w:hint="eastAsia" w:ascii="仿宋_GB2312" w:hAnsi="楷体" w:eastAsia="仿宋_GB2312"/>
          <w:b w:val="0"/>
          <w:bCs w:val="0"/>
          <w:spacing w:val="-4"/>
          <w:sz w:val="28"/>
          <w:szCs w:val="28"/>
        </w:rPr>
        <w:t>2</w:t>
      </w:r>
      <w:r>
        <w:rPr>
          <w:rStyle w:val="18"/>
          <w:rFonts w:ascii="仿宋_GB2312" w:hAnsi="楷体" w:eastAsia="仿宋_GB2312"/>
          <w:b w:val="0"/>
          <w:bCs w:val="0"/>
          <w:spacing w:val="-4"/>
          <w:sz w:val="28"/>
          <w:szCs w:val="28"/>
        </w:rPr>
        <w:t>、成本节约情况</w:t>
      </w:r>
    </w:p>
    <w:p>
      <w:pPr>
        <w:ind w:firstLine="544" w:firstLineChars="200"/>
        <w:rPr>
          <w:rStyle w:val="18"/>
          <w:rFonts w:ascii="仿宋_GB2312" w:hAnsi="楷体" w:eastAsia="仿宋_GB2312"/>
          <w:b w:val="0"/>
          <w:spacing w:val="-4"/>
          <w:sz w:val="28"/>
          <w:szCs w:val="28"/>
          <w:highlight w:val="none"/>
        </w:rPr>
      </w:pPr>
      <w:r>
        <w:rPr>
          <w:rStyle w:val="18"/>
          <w:rFonts w:hint="eastAsia" w:ascii="仿宋_GB2312" w:hAnsi="楷体" w:eastAsia="仿宋_GB2312"/>
          <w:b w:val="0"/>
          <w:spacing w:val="-4"/>
          <w:sz w:val="28"/>
          <w:szCs w:val="28"/>
          <w:highlight w:val="none"/>
        </w:rPr>
        <w:t>特克斯县人力资源和社会保障局，所涉及专项项目使用资金比专项项目总预算减少</w:t>
      </w:r>
      <w:r>
        <w:rPr>
          <w:rStyle w:val="18"/>
          <w:rFonts w:hint="eastAsia" w:ascii="仿宋_GB2312" w:hAnsi="楷体" w:eastAsia="仿宋_GB2312"/>
          <w:b w:val="0"/>
          <w:spacing w:val="-4"/>
          <w:sz w:val="28"/>
          <w:szCs w:val="28"/>
          <w:highlight w:val="none"/>
          <w:lang w:val="en-US" w:eastAsia="zh-CN"/>
        </w:rPr>
        <w:t>0</w:t>
      </w:r>
      <w:r>
        <w:rPr>
          <w:rStyle w:val="18"/>
          <w:rFonts w:hint="eastAsia" w:ascii="仿宋_GB2312" w:hAnsi="楷体" w:eastAsia="仿宋_GB2312"/>
          <w:b w:val="0"/>
          <w:spacing w:val="-4"/>
          <w:sz w:val="28"/>
          <w:szCs w:val="28"/>
          <w:highlight w:val="none"/>
        </w:rPr>
        <w:t>万元，</w:t>
      </w:r>
      <w:bookmarkStart w:id="21" w:name="_Hlk96097132"/>
      <w:r>
        <w:rPr>
          <w:rStyle w:val="18"/>
          <w:rFonts w:hint="eastAsia" w:ascii="仿宋_GB2312" w:hAnsi="楷体" w:eastAsia="仿宋_GB2312"/>
          <w:b w:val="0"/>
          <w:spacing w:val="-4"/>
          <w:sz w:val="28"/>
          <w:szCs w:val="28"/>
          <w:highlight w:val="none"/>
        </w:rPr>
        <w:t>项目节约率</w:t>
      </w:r>
      <w:bookmarkEnd w:id="21"/>
      <w:r>
        <w:rPr>
          <w:rStyle w:val="18"/>
          <w:rFonts w:hint="eastAsia" w:ascii="仿宋_GB2312" w:hAnsi="楷体" w:eastAsia="仿宋_GB2312"/>
          <w:b w:val="0"/>
          <w:spacing w:val="-4"/>
          <w:sz w:val="28"/>
          <w:szCs w:val="28"/>
          <w:highlight w:val="none"/>
        </w:rPr>
        <w:t>为0%。</w:t>
      </w:r>
    </w:p>
    <w:p>
      <w:pPr>
        <w:pStyle w:val="2"/>
        <w:numPr>
          <w:ilvl w:val="0"/>
          <w:numId w:val="2"/>
        </w:numPr>
        <w:spacing w:line="360" w:lineRule="auto"/>
        <w:rPr>
          <w:rStyle w:val="18"/>
          <w:rFonts w:ascii="仿宋" w:hAnsi="仿宋" w:eastAsia="仿宋"/>
          <w:b/>
          <w:bCs/>
        </w:rPr>
      </w:pPr>
      <w:r>
        <w:rPr>
          <w:rStyle w:val="18"/>
          <w:rFonts w:hint="eastAsia" w:ascii="仿宋" w:hAnsi="仿宋" w:eastAsia="仿宋"/>
          <w:b/>
          <w:bCs/>
        </w:rPr>
        <w:t>项目效率性分析</w:t>
      </w:r>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1、实施进度</w:t>
      </w:r>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2021年特克斯县人力资源和社会保障局共涉</w:t>
      </w:r>
      <w:r>
        <w:rPr>
          <w:rStyle w:val="18"/>
          <w:rFonts w:hint="eastAsia" w:ascii="仿宋_GB2312" w:hAnsi="楷体" w:eastAsia="仿宋_GB2312"/>
          <w:b w:val="0"/>
          <w:spacing w:val="-4"/>
          <w:sz w:val="28"/>
          <w:szCs w:val="28"/>
          <w:highlight w:val="none"/>
        </w:rPr>
        <w:t>及专项项目</w:t>
      </w:r>
      <w:r>
        <w:rPr>
          <w:rStyle w:val="18"/>
          <w:rFonts w:hint="eastAsia" w:ascii="仿宋_GB2312" w:hAnsi="楷体" w:eastAsia="仿宋_GB2312"/>
          <w:b w:val="0"/>
          <w:spacing w:val="-4"/>
          <w:sz w:val="28"/>
          <w:szCs w:val="28"/>
          <w:highlight w:val="none"/>
          <w:lang w:val="en-US" w:eastAsia="zh-CN"/>
        </w:rPr>
        <w:t>6</w:t>
      </w:r>
      <w:r>
        <w:rPr>
          <w:rStyle w:val="18"/>
          <w:rFonts w:hint="eastAsia" w:ascii="仿宋_GB2312" w:hAnsi="楷体" w:eastAsia="仿宋_GB2312"/>
          <w:b w:val="0"/>
          <w:spacing w:val="-4"/>
          <w:sz w:val="28"/>
          <w:szCs w:val="28"/>
          <w:highlight w:val="none"/>
        </w:rPr>
        <w:t>个，截止到2021年底，通过专项项目实施过程中的有效监督，我单位按预期完成了</w:t>
      </w:r>
      <w:r>
        <w:rPr>
          <w:rStyle w:val="18"/>
          <w:rFonts w:hint="eastAsia" w:ascii="仿宋_GB2312" w:hAnsi="楷体" w:eastAsia="仿宋_GB2312"/>
          <w:b w:val="0"/>
          <w:spacing w:val="-4"/>
          <w:sz w:val="28"/>
          <w:szCs w:val="28"/>
          <w:highlight w:val="none"/>
          <w:lang w:val="en-US" w:eastAsia="zh-CN"/>
        </w:rPr>
        <w:t>6</w:t>
      </w:r>
      <w:r>
        <w:rPr>
          <w:rStyle w:val="18"/>
          <w:rFonts w:hint="eastAsia" w:ascii="仿宋_GB2312" w:hAnsi="楷体" w:eastAsia="仿宋_GB2312"/>
          <w:b w:val="0"/>
          <w:spacing w:val="-4"/>
          <w:sz w:val="28"/>
          <w:szCs w:val="28"/>
          <w:highlight w:val="none"/>
        </w:rPr>
        <w:t>个专项的各项专项任务，项目总体完成率为100%。</w:t>
      </w:r>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2、完成质量</w:t>
      </w:r>
    </w:p>
    <w:p>
      <w:pPr>
        <w:spacing w:line="360" w:lineRule="auto"/>
        <w:ind w:firstLine="544" w:firstLineChars="200"/>
        <w:rPr>
          <w:rStyle w:val="18"/>
          <w:rFonts w:hint="eastAsia" w:asciiTheme="minorEastAsia" w:hAnsiTheme="minorEastAsia"/>
          <w:bCs w:val="0"/>
          <w:color w:val="FF0000"/>
          <w:spacing w:val="-4"/>
          <w:sz w:val="28"/>
          <w:szCs w:val="28"/>
          <w:highlight w:val="none"/>
        </w:rPr>
      </w:pPr>
      <w:bookmarkStart w:id="22" w:name="_Hlk96100380"/>
      <w:r>
        <w:rPr>
          <w:rStyle w:val="18"/>
          <w:rFonts w:hint="eastAsia" w:ascii="仿宋_GB2312" w:hAnsi="楷体" w:eastAsia="仿宋_GB2312"/>
          <w:b w:val="0"/>
          <w:spacing w:val="-4"/>
          <w:sz w:val="28"/>
          <w:szCs w:val="28"/>
          <w:highlight w:val="none"/>
          <w:lang w:val="en-US" w:eastAsia="zh-CN"/>
        </w:rPr>
        <w:t>6</w:t>
      </w:r>
      <w:r>
        <w:rPr>
          <w:rStyle w:val="18"/>
          <w:rFonts w:hint="eastAsia" w:ascii="仿宋_GB2312" w:hAnsi="楷体" w:eastAsia="仿宋_GB2312"/>
          <w:b w:val="0"/>
          <w:spacing w:val="-4"/>
          <w:sz w:val="28"/>
          <w:szCs w:val="28"/>
          <w:highlight w:val="none"/>
        </w:rPr>
        <w:t>个专项项目完成质量情况如下：</w:t>
      </w:r>
      <w:bookmarkEnd w:id="22"/>
    </w:p>
    <w:p>
      <w:pPr>
        <w:pStyle w:val="22"/>
        <w:numPr>
          <w:ilvl w:val="0"/>
          <w:numId w:val="3"/>
        </w:numPr>
        <w:spacing w:line="360" w:lineRule="auto"/>
        <w:ind w:firstLineChars="0"/>
        <w:rPr>
          <w:rStyle w:val="18"/>
          <w:rFonts w:ascii="仿宋_GB2312" w:hAnsi="楷体" w:eastAsia="仿宋_GB2312"/>
          <w:b w:val="0"/>
          <w:color w:val="FF0000"/>
          <w:spacing w:val="-4"/>
          <w:sz w:val="28"/>
          <w:szCs w:val="28"/>
        </w:rPr>
      </w:pPr>
      <w:r>
        <w:rPr>
          <w:rStyle w:val="18"/>
          <w:rFonts w:hint="eastAsia" w:ascii="仿宋_GB2312" w:hAnsi="楷体" w:eastAsia="仿宋_GB2312"/>
          <w:b w:val="0"/>
          <w:spacing w:val="-4"/>
          <w:sz w:val="28"/>
          <w:szCs w:val="28"/>
        </w:rPr>
        <w:t>就业补助资金：已完成新开发岗位2800个，城镇全年实现新增就业1715人，其中：就业困难人员200人，年末城镇登记失业率控制在4.0%以内，当年新增创业人员356人。带动就业人数560人。年末高校毕业生当年就业率88%以上。；</w:t>
      </w:r>
    </w:p>
    <w:p>
      <w:pPr>
        <w:pStyle w:val="22"/>
        <w:numPr>
          <w:ilvl w:val="0"/>
          <w:numId w:val="3"/>
        </w:numPr>
        <w:spacing w:line="360" w:lineRule="auto"/>
        <w:ind w:firstLineChars="0"/>
        <w:rPr>
          <w:rStyle w:val="18"/>
          <w:rFonts w:hint="eastAsia" w:ascii="仿宋_GB2312" w:hAnsi="楷体" w:eastAsia="仿宋_GB2312" w:cs="Times New Roman"/>
          <w:b w:val="0"/>
          <w:spacing w:val="-4"/>
          <w:sz w:val="28"/>
          <w:szCs w:val="28"/>
        </w:rPr>
      </w:pPr>
      <w:r>
        <w:rPr>
          <w:rStyle w:val="18"/>
          <w:rFonts w:hint="eastAsia" w:ascii="仿宋_GB2312" w:hAnsi="楷体" w:eastAsia="仿宋_GB2312" w:cs="Times New Roman"/>
          <w:b w:val="0"/>
          <w:spacing w:val="-4"/>
          <w:sz w:val="28"/>
          <w:szCs w:val="28"/>
        </w:rPr>
        <w:t>全区企业基本养老保险扩面项目：扩大到企业养老保险覆盖面，健全社会保障体系，是经济体制改革和结构调整中心必须要做好在工作，要确保如期完成非公单位和各类企业养老保险。</w:t>
      </w:r>
    </w:p>
    <w:p>
      <w:pPr>
        <w:pStyle w:val="22"/>
        <w:numPr>
          <w:ilvl w:val="0"/>
          <w:numId w:val="3"/>
        </w:numPr>
        <w:spacing w:line="360" w:lineRule="auto"/>
        <w:ind w:firstLineChars="0"/>
        <w:rPr>
          <w:rStyle w:val="18"/>
          <w:rFonts w:hint="eastAsia" w:ascii="仿宋_GB2312" w:hAnsi="楷体" w:eastAsia="仿宋_GB2312" w:cs="Times New Roman"/>
          <w:b w:val="0"/>
          <w:spacing w:val="-4"/>
          <w:sz w:val="28"/>
          <w:szCs w:val="28"/>
        </w:rPr>
      </w:pPr>
      <w:r>
        <w:rPr>
          <w:rStyle w:val="18"/>
          <w:rFonts w:hint="eastAsia" w:ascii="仿宋_GB2312" w:hAnsi="楷体" w:eastAsia="仿宋_GB2312" w:cs="Times New Roman"/>
          <w:b w:val="0"/>
          <w:spacing w:val="-4"/>
          <w:sz w:val="28"/>
          <w:szCs w:val="28"/>
        </w:rPr>
        <w:t>2021年 “三支一扶”中央补助资金：有效提高州直高校毕业生“三支一扶”工作，引导和鼓励高校毕业生面向基层就业，基层服务。</w:t>
      </w:r>
    </w:p>
    <w:p>
      <w:pPr>
        <w:pStyle w:val="22"/>
        <w:numPr>
          <w:ilvl w:val="0"/>
          <w:numId w:val="3"/>
        </w:numPr>
        <w:spacing w:line="360" w:lineRule="auto"/>
        <w:ind w:firstLineChars="0"/>
        <w:rPr>
          <w:rStyle w:val="18"/>
          <w:rFonts w:hint="eastAsia" w:ascii="仿宋_GB2312" w:hAnsi="楷体" w:eastAsia="仿宋_GB2312" w:cs="Times New Roman"/>
          <w:b w:val="0"/>
          <w:spacing w:val="-4"/>
          <w:sz w:val="28"/>
          <w:szCs w:val="28"/>
        </w:rPr>
      </w:pPr>
      <w:r>
        <w:rPr>
          <w:rStyle w:val="18"/>
          <w:rFonts w:hint="eastAsia" w:ascii="仿宋_GB2312" w:hAnsi="楷体" w:eastAsia="仿宋_GB2312" w:cs="Times New Roman"/>
          <w:b w:val="0"/>
          <w:spacing w:val="-4"/>
          <w:sz w:val="28"/>
          <w:szCs w:val="28"/>
        </w:rPr>
        <w:t>普惠金融发展专项：资金已完成支持劳动者主自主创业30个、自谋职业35个，引导用人机构创造更多就业岗位。新增就业岗位105个。</w:t>
      </w:r>
    </w:p>
    <w:p>
      <w:pPr>
        <w:pStyle w:val="22"/>
        <w:numPr>
          <w:ilvl w:val="0"/>
          <w:numId w:val="3"/>
        </w:numPr>
        <w:spacing w:line="360" w:lineRule="auto"/>
        <w:ind w:firstLineChars="0"/>
        <w:rPr>
          <w:rStyle w:val="18"/>
          <w:rFonts w:hint="eastAsia" w:ascii="仿宋_GB2312" w:hAnsi="楷体" w:eastAsia="仿宋_GB2312" w:cs="Times New Roman"/>
          <w:b w:val="0"/>
          <w:spacing w:val="-4"/>
          <w:sz w:val="28"/>
          <w:szCs w:val="28"/>
        </w:rPr>
      </w:pPr>
      <w:r>
        <w:rPr>
          <w:rStyle w:val="18"/>
          <w:rFonts w:hint="eastAsia" w:ascii="仿宋_GB2312" w:hAnsi="楷体" w:eastAsia="仿宋_GB2312" w:cs="Times New Roman"/>
          <w:b w:val="0"/>
          <w:spacing w:val="-4"/>
          <w:sz w:val="28"/>
          <w:szCs w:val="28"/>
          <w:lang w:val="en-US" w:eastAsia="zh-CN"/>
        </w:rPr>
        <w:t>城乡居民养老保险专项资金项目：城乡居民养老保险领取待遇人数9616人已按时足额发放。</w:t>
      </w:r>
    </w:p>
    <w:p>
      <w:pPr>
        <w:pStyle w:val="22"/>
        <w:numPr>
          <w:ilvl w:val="0"/>
          <w:numId w:val="3"/>
        </w:numPr>
        <w:spacing w:line="360" w:lineRule="auto"/>
        <w:ind w:firstLineChars="0"/>
        <w:rPr>
          <w:rStyle w:val="18"/>
          <w:rFonts w:hint="eastAsia" w:ascii="仿宋_GB2312" w:hAnsi="楷体" w:eastAsia="仿宋_GB2312" w:cs="Times New Roman"/>
          <w:b w:val="0"/>
          <w:spacing w:val="-4"/>
          <w:sz w:val="28"/>
          <w:szCs w:val="28"/>
        </w:rPr>
      </w:pPr>
      <w:r>
        <w:rPr>
          <w:rStyle w:val="18"/>
          <w:rFonts w:hint="eastAsia" w:ascii="仿宋_GB2312" w:hAnsi="楷体" w:eastAsia="仿宋_GB2312" w:cs="Times New Roman"/>
          <w:b w:val="0"/>
          <w:spacing w:val="-4"/>
          <w:sz w:val="28"/>
          <w:szCs w:val="28"/>
          <w:lang w:val="en-US" w:eastAsia="zh-CN"/>
        </w:rPr>
        <w:t>机关事业单位养老保险专项资金项目：机关养老保险领取待遇人数3370人已按时足额发放。</w:t>
      </w:r>
    </w:p>
    <w:p>
      <w:pPr>
        <w:pStyle w:val="22"/>
        <w:spacing w:line="360" w:lineRule="auto"/>
        <w:ind w:left="904" w:firstLine="0" w:firstLineChars="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3.项目效益性分析</w:t>
      </w:r>
    </w:p>
    <w:p>
      <w:pPr>
        <w:ind w:firstLine="544" w:firstLineChars="200"/>
        <w:rPr>
          <w:rStyle w:val="18"/>
          <w:rFonts w:ascii="仿宋_GB2312" w:hAnsi="楷体" w:eastAsia="仿宋_GB2312"/>
          <w:b w:val="0"/>
          <w:bCs w:val="0"/>
          <w:spacing w:val="-4"/>
          <w:sz w:val="28"/>
          <w:szCs w:val="28"/>
          <w:highlight w:val="none"/>
        </w:rPr>
      </w:pPr>
      <w:r>
        <w:rPr>
          <w:rStyle w:val="18"/>
          <w:rFonts w:hint="eastAsia" w:ascii="仿宋_GB2312" w:hAnsi="楷体" w:eastAsia="仿宋_GB2312"/>
          <w:b w:val="0"/>
          <w:bCs w:val="0"/>
          <w:spacing w:val="-4"/>
          <w:sz w:val="28"/>
          <w:szCs w:val="28"/>
          <w:highlight w:val="none"/>
          <w:lang w:val="en-US" w:eastAsia="zh-CN"/>
        </w:rPr>
        <w:t>6</w:t>
      </w:r>
      <w:r>
        <w:rPr>
          <w:rStyle w:val="18"/>
          <w:rFonts w:hint="eastAsia" w:ascii="仿宋_GB2312" w:hAnsi="楷体" w:eastAsia="仿宋_GB2312"/>
          <w:b w:val="0"/>
          <w:bCs w:val="0"/>
          <w:spacing w:val="-4"/>
          <w:sz w:val="28"/>
          <w:szCs w:val="28"/>
          <w:highlight w:val="none"/>
        </w:rPr>
        <w:t>个专项项目预期目标完成程度、实施对经济和社会的影响如下：</w:t>
      </w:r>
    </w:p>
    <w:p>
      <w:pPr>
        <w:spacing w:line="360" w:lineRule="auto"/>
        <w:ind w:firstLine="544" w:firstLineChars="200"/>
        <w:rPr>
          <w:rStyle w:val="18"/>
          <w:rFonts w:ascii="仿宋_GB2312" w:hAnsi="楷体" w:eastAsia="仿宋_GB2312"/>
          <w:b w:val="0"/>
          <w:color w:val="FF0000"/>
          <w:spacing w:val="-4"/>
          <w:sz w:val="28"/>
          <w:szCs w:val="28"/>
        </w:rPr>
      </w:pPr>
      <w:r>
        <w:rPr>
          <w:rStyle w:val="18"/>
          <w:rFonts w:hint="eastAsia" w:ascii="仿宋_GB2312" w:hAnsi="楷体" w:eastAsia="仿宋_GB2312"/>
          <w:b w:val="0"/>
          <w:spacing w:val="-4"/>
          <w:sz w:val="28"/>
          <w:szCs w:val="28"/>
        </w:rPr>
        <w:t>1、就业补助资金：未就业人员得到就业服务平台从而增加全县就业率，零就业家庭帮扶率有效提高</w:t>
      </w:r>
      <w:r>
        <w:rPr>
          <w:rStyle w:val="18"/>
          <w:rFonts w:hint="eastAsia" w:ascii="仿宋_GB2312" w:hAnsi="楷体" w:eastAsia="仿宋_GB2312"/>
          <w:b w:val="0"/>
          <w:color w:val="FF0000"/>
          <w:spacing w:val="-4"/>
          <w:sz w:val="28"/>
          <w:szCs w:val="28"/>
        </w:rPr>
        <w:t>；</w:t>
      </w:r>
    </w:p>
    <w:p>
      <w:pPr>
        <w:spacing w:line="360" w:lineRule="auto"/>
        <w:ind w:firstLine="544" w:firstLineChars="200"/>
        <w:rPr>
          <w:rStyle w:val="18"/>
          <w:rFonts w:hint="eastAsia" w:ascii="仿宋_GB2312" w:hAnsi="楷体" w:eastAsia="仿宋_GB2312" w:cs="Times New Roman"/>
          <w:b w:val="0"/>
          <w:spacing w:val="-4"/>
          <w:sz w:val="28"/>
          <w:szCs w:val="28"/>
        </w:rPr>
      </w:pPr>
      <w:r>
        <w:rPr>
          <w:rStyle w:val="18"/>
          <w:rFonts w:hint="eastAsia" w:ascii="仿宋_GB2312" w:hAnsi="楷体" w:eastAsia="仿宋_GB2312"/>
          <w:b w:val="0"/>
          <w:spacing w:val="-4"/>
          <w:sz w:val="28"/>
          <w:szCs w:val="28"/>
        </w:rPr>
        <w:t>2、全区企业基本养老保险扩面项目：扩大到企业养老保险覆盖面，健</w:t>
      </w:r>
      <w:r>
        <w:rPr>
          <w:rStyle w:val="18"/>
          <w:rFonts w:hint="eastAsia" w:ascii="仿宋_GB2312" w:hAnsi="楷体" w:eastAsia="仿宋_GB2312" w:cs="Times New Roman"/>
          <w:b w:val="0"/>
          <w:spacing w:val="-4"/>
          <w:sz w:val="28"/>
          <w:szCs w:val="28"/>
        </w:rPr>
        <w:t>全社会保障体系，是经济体制改革和结构调整中心必须要做好在工作，要确保如期完成非公单位和各类企业养老保险；</w:t>
      </w:r>
    </w:p>
    <w:p>
      <w:pPr>
        <w:spacing w:line="360" w:lineRule="auto"/>
        <w:ind w:firstLine="544" w:firstLineChars="200"/>
        <w:rPr>
          <w:rStyle w:val="18"/>
          <w:rFonts w:hint="eastAsia" w:ascii="仿宋_GB2312" w:hAnsi="楷体" w:eastAsia="仿宋_GB2312" w:cs="Times New Roman"/>
          <w:b w:val="0"/>
          <w:spacing w:val="-4"/>
          <w:sz w:val="28"/>
          <w:szCs w:val="28"/>
        </w:rPr>
      </w:pPr>
      <w:r>
        <w:rPr>
          <w:rStyle w:val="18"/>
          <w:rFonts w:hint="eastAsia" w:ascii="仿宋_GB2312" w:hAnsi="楷体" w:eastAsia="仿宋_GB2312" w:cs="Times New Roman"/>
          <w:b w:val="0"/>
          <w:spacing w:val="-4"/>
          <w:sz w:val="28"/>
          <w:szCs w:val="28"/>
        </w:rPr>
        <w:t>3、2021年 “三支一扶”中央补助资金：有效提高州直高校毕业生“三支一扶”工作，引导和鼓励高校毕业生面向基层就业，基层服务，从而基层工作得到有效推动的效果。</w:t>
      </w:r>
    </w:p>
    <w:p>
      <w:pPr>
        <w:spacing w:line="360" w:lineRule="auto"/>
        <w:ind w:firstLine="544" w:firstLineChars="200"/>
        <w:rPr>
          <w:rStyle w:val="18"/>
          <w:rFonts w:hint="eastAsia" w:ascii="仿宋_GB2312" w:hAnsi="楷体" w:eastAsia="仿宋_GB2312" w:cs="Times New Roman"/>
          <w:b w:val="0"/>
          <w:spacing w:val="-4"/>
          <w:sz w:val="28"/>
          <w:szCs w:val="28"/>
        </w:rPr>
      </w:pPr>
      <w:r>
        <w:rPr>
          <w:rStyle w:val="18"/>
          <w:rFonts w:hint="eastAsia" w:ascii="仿宋_GB2312" w:hAnsi="楷体" w:eastAsia="仿宋_GB2312" w:cs="Times New Roman"/>
          <w:b w:val="0"/>
          <w:spacing w:val="-4"/>
          <w:sz w:val="28"/>
          <w:szCs w:val="28"/>
          <w:lang w:val="en-US" w:eastAsia="zh-CN"/>
        </w:rPr>
        <w:t>4、</w:t>
      </w:r>
      <w:r>
        <w:rPr>
          <w:rStyle w:val="18"/>
          <w:rFonts w:hint="eastAsia" w:ascii="仿宋_GB2312" w:hAnsi="楷体" w:eastAsia="仿宋_GB2312" w:cs="Times New Roman"/>
          <w:b w:val="0"/>
          <w:spacing w:val="-4"/>
          <w:sz w:val="28"/>
          <w:szCs w:val="28"/>
        </w:rPr>
        <w:t>普惠金融发展专项：发放小额担保贷款贴息，实现更多未就业人员自主创业，自谋职业。</w:t>
      </w:r>
    </w:p>
    <w:p>
      <w:pPr>
        <w:spacing w:line="360" w:lineRule="auto"/>
        <w:ind w:firstLine="544" w:firstLineChars="200"/>
        <w:rPr>
          <w:rStyle w:val="18"/>
          <w:rFonts w:hint="eastAsia" w:ascii="仿宋_GB2312" w:hAnsi="楷体" w:eastAsia="仿宋_GB2312" w:cs="Times New Roman"/>
          <w:b w:val="0"/>
          <w:spacing w:val="-4"/>
          <w:sz w:val="28"/>
          <w:szCs w:val="28"/>
        </w:rPr>
      </w:pPr>
      <w:r>
        <w:rPr>
          <w:rStyle w:val="18"/>
          <w:rFonts w:hint="eastAsia" w:ascii="仿宋_GB2312" w:hAnsi="楷体" w:eastAsia="仿宋_GB2312" w:cs="Times New Roman"/>
          <w:b w:val="0"/>
          <w:spacing w:val="-4"/>
          <w:sz w:val="28"/>
          <w:szCs w:val="28"/>
          <w:lang w:val="en-US" w:eastAsia="zh-CN"/>
        </w:rPr>
        <w:t>5、城乡居民养老保险专项资金项目：城乡居民生活水平有效提高。</w:t>
      </w:r>
    </w:p>
    <w:p>
      <w:pPr>
        <w:spacing w:line="360" w:lineRule="auto"/>
        <w:ind w:firstLine="544" w:firstLineChars="200"/>
        <w:rPr>
          <w:rStyle w:val="18"/>
          <w:rFonts w:hint="eastAsia" w:ascii="仿宋_GB2312" w:hAnsi="楷体" w:eastAsia="仿宋_GB2312" w:cs="Times New Roman"/>
          <w:b w:val="0"/>
          <w:spacing w:val="-4"/>
          <w:sz w:val="28"/>
          <w:szCs w:val="28"/>
        </w:rPr>
      </w:pPr>
      <w:r>
        <w:rPr>
          <w:rStyle w:val="18"/>
          <w:rFonts w:hint="eastAsia" w:ascii="仿宋_GB2312" w:hAnsi="楷体" w:eastAsia="仿宋_GB2312" w:cs="Times New Roman"/>
          <w:b w:val="0"/>
          <w:spacing w:val="-4"/>
          <w:sz w:val="28"/>
          <w:szCs w:val="28"/>
          <w:lang w:val="en-US" w:eastAsia="zh-CN"/>
        </w:rPr>
        <w:t>6、机关事业单位养老保险专项资金项目：机关事业单位基本养老保险参保率达到100%，参保人员对机关事业单位基本养老保险政策的知晓率达到100%。</w:t>
      </w:r>
    </w:p>
    <w:p>
      <w:pPr>
        <w:pStyle w:val="7"/>
        <w:spacing w:line="360" w:lineRule="auto"/>
        <w:rPr>
          <w:rFonts w:ascii="仿宋" w:hAnsi="仿宋" w:eastAsia="仿宋"/>
          <w:sz w:val="36"/>
          <w:szCs w:val="36"/>
        </w:rPr>
      </w:pPr>
      <w:bookmarkStart w:id="23" w:name="_Toc70450310"/>
      <w:r>
        <w:rPr>
          <w:rFonts w:hint="eastAsia" w:ascii="仿宋" w:hAnsi="仿宋" w:eastAsia="仿宋"/>
          <w:sz w:val="36"/>
          <w:szCs w:val="36"/>
        </w:rPr>
        <w:t>四、资产管理情况</w:t>
      </w:r>
      <w:bookmarkEnd w:id="23"/>
    </w:p>
    <w:p>
      <w:pPr>
        <w:pStyle w:val="4"/>
        <w:spacing w:line="360" w:lineRule="auto"/>
        <w:rPr>
          <w:rStyle w:val="18"/>
          <w:rFonts w:ascii="仿宋" w:hAnsi="仿宋" w:eastAsia="仿宋"/>
          <w:b/>
          <w:bCs/>
        </w:rPr>
      </w:pPr>
      <w:bookmarkStart w:id="24" w:name="_Toc70450311"/>
      <w:r>
        <w:rPr>
          <w:rStyle w:val="18"/>
          <w:rFonts w:hint="eastAsia" w:ascii="仿宋" w:hAnsi="仿宋" w:eastAsia="仿宋"/>
          <w:b/>
          <w:bCs/>
        </w:rPr>
        <w:t>（一）资产配置情况</w:t>
      </w:r>
      <w:bookmarkEnd w:id="24"/>
    </w:p>
    <w:p>
      <w:pPr>
        <w:spacing w:line="360" w:lineRule="auto"/>
        <w:ind w:firstLine="544" w:firstLineChars="200"/>
        <w:rPr>
          <w:rStyle w:val="18"/>
          <w:rFonts w:ascii="仿宋_GB2312" w:hAnsi="宋体" w:eastAsia="仿宋_GB2312"/>
          <w:b w:val="0"/>
          <w:bCs w:val="0"/>
          <w:spacing w:val="-4"/>
          <w:sz w:val="28"/>
          <w:szCs w:val="28"/>
        </w:rPr>
      </w:pPr>
      <w:r>
        <w:rPr>
          <w:rStyle w:val="18"/>
          <w:rFonts w:hint="eastAsia" w:ascii="仿宋_GB2312" w:hAnsi="宋体" w:eastAsia="仿宋_GB2312"/>
          <w:b w:val="0"/>
          <w:bCs w:val="0"/>
          <w:spacing w:val="-4"/>
          <w:sz w:val="28"/>
          <w:szCs w:val="28"/>
        </w:rPr>
        <w:t>2021年我单位资产总额198.36万元，其中流动资产0万元，固定资产净值42.13万元（其中：通用设备29.95万元，占固定资产净值的71.09%；专用设备12.18万元，占固定资产净值的28.91%）。</w:t>
      </w:r>
    </w:p>
    <w:p>
      <w:pPr>
        <w:spacing w:line="360" w:lineRule="auto"/>
        <w:ind w:firstLine="544" w:firstLineChars="200"/>
        <w:rPr>
          <w:rStyle w:val="18"/>
          <w:rFonts w:hint="eastAsia" w:ascii="仿宋_GB2312" w:hAnsi="宋体" w:eastAsia="仿宋_GB2312"/>
          <w:b w:val="0"/>
          <w:bCs w:val="0"/>
          <w:spacing w:val="-4"/>
          <w:sz w:val="28"/>
          <w:szCs w:val="28"/>
        </w:rPr>
      </w:pPr>
      <w:r>
        <w:rPr>
          <w:rStyle w:val="18"/>
          <w:rFonts w:hint="eastAsia" w:ascii="仿宋_GB2312" w:hAnsi="宋体" w:eastAsia="仿宋_GB2312"/>
          <w:b w:val="0"/>
          <w:bCs w:val="0"/>
          <w:spacing w:val="-4"/>
          <w:sz w:val="28"/>
          <w:szCs w:val="28"/>
        </w:rPr>
        <w:t>本年度流动资产0万元，比上年减少9.61万元，原因是：本年度根据财政局，县纪检委要求已清理历史预留的长期借款。</w:t>
      </w:r>
    </w:p>
    <w:p>
      <w:pPr>
        <w:spacing w:line="360" w:lineRule="auto"/>
        <w:ind w:firstLine="544" w:firstLineChars="200"/>
        <w:rPr>
          <w:rStyle w:val="18"/>
          <w:rFonts w:ascii="仿宋_GB2312" w:hAnsi="宋体" w:eastAsia="仿宋_GB2312"/>
          <w:b w:val="0"/>
          <w:bCs w:val="0"/>
          <w:spacing w:val="-4"/>
          <w:sz w:val="28"/>
          <w:szCs w:val="28"/>
          <w:highlight w:val="none"/>
        </w:rPr>
      </w:pPr>
      <w:r>
        <w:rPr>
          <w:rStyle w:val="18"/>
          <w:rFonts w:hint="eastAsia" w:ascii="仿宋_GB2312" w:hAnsi="宋体" w:eastAsia="仿宋_GB2312"/>
          <w:b w:val="0"/>
          <w:bCs w:val="0"/>
          <w:spacing w:val="-4"/>
          <w:sz w:val="28"/>
          <w:szCs w:val="28"/>
          <w:highlight w:val="none"/>
        </w:rPr>
        <w:t>本年度固定资产</w:t>
      </w:r>
      <w:r>
        <w:rPr>
          <w:rStyle w:val="18"/>
          <w:rFonts w:hint="eastAsia" w:ascii="仿宋_GB2312" w:hAnsi="宋体" w:eastAsia="仿宋_GB2312"/>
          <w:b w:val="0"/>
          <w:bCs w:val="0"/>
          <w:spacing w:val="-4"/>
          <w:sz w:val="28"/>
          <w:szCs w:val="28"/>
          <w:highlight w:val="none"/>
          <w:lang w:val="en-US" w:eastAsia="zh-CN"/>
        </w:rPr>
        <w:t>42.13</w:t>
      </w:r>
      <w:r>
        <w:rPr>
          <w:rStyle w:val="18"/>
          <w:rFonts w:hint="eastAsia" w:ascii="仿宋_GB2312" w:hAnsi="宋体" w:eastAsia="仿宋_GB2312"/>
          <w:b w:val="0"/>
          <w:bCs w:val="0"/>
          <w:spacing w:val="-4"/>
          <w:sz w:val="28"/>
          <w:szCs w:val="28"/>
          <w:highlight w:val="none"/>
        </w:rPr>
        <w:t>万元，比上年增加</w:t>
      </w:r>
      <w:r>
        <w:rPr>
          <w:rStyle w:val="18"/>
          <w:rFonts w:hint="eastAsia" w:ascii="仿宋_GB2312" w:hAnsi="宋体" w:eastAsia="仿宋_GB2312"/>
          <w:b w:val="0"/>
          <w:bCs w:val="0"/>
          <w:spacing w:val="-4"/>
          <w:sz w:val="28"/>
          <w:szCs w:val="28"/>
          <w:highlight w:val="none"/>
          <w:lang w:val="en-US" w:eastAsia="zh-CN"/>
        </w:rPr>
        <w:t>0</w:t>
      </w:r>
      <w:r>
        <w:rPr>
          <w:rStyle w:val="18"/>
          <w:rFonts w:hint="eastAsia" w:ascii="仿宋_GB2312" w:hAnsi="宋体" w:eastAsia="仿宋_GB2312"/>
          <w:b w:val="0"/>
          <w:bCs w:val="0"/>
          <w:spacing w:val="-4"/>
          <w:sz w:val="28"/>
          <w:szCs w:val="28"/>
          <w:highlight w:val="none"/>
        </w:rPr>
        <w:t>万元，原因是：</w:t>
      </w:r>
      <w:r>
        <w:rPr>
          <w:rStyle w:val="18"/>
          <w:rFonts w:hint="eastAsia" w:ascii="仿宋_GB2312" w:hAnsi="宋体" w:eastAsia="仿宋_GB2312"/>
          <w:b w:val="0"/>
          <w:bCs w:val="0"/>
          <w:spacing w:val="-4"/>
          <w:sz w:val="28"/>
          <w:szCs w:val="28"/>
          <w:highlight w:val="none"/>
          <w:lang w:val="en-US" w:eastAsia="zh-CN"/>
        </w:rPr>
        <w:t>固定资产无变动</w:t>
      </w:r>
      <w:r>
        <w:rPr>
          <w:rStyle w:val="18"/>
          <w:rFonts w:hint="eastAsia" w:ascii="仿宋_GB2312" w:hAnsi="宋体" w:eastAsia="仿宋_GB2312"/>
          <w:b w:val="0"/>
          <w:bCs w:val="0"/>
          <w:spacing w:val="-4"/>
          <w:sz w:val="28"/>
          <w:szCs w:val="28"/>
          <w:highlight w:val="none"/>
        </w:rPr>
        <w:t>。</w:t>
      </w:r>
    </w:p>
    <w:p>
      <w:pPr>
        <w:pStyle w:val="2"/>
        <w:numPr>
          <w:ilvl w:val="2"/>
          <w:numId w:val="0"/>
        </w:numPr>
        <w:ind w:leftChars="0"/>
        <w:rPr>
          <w:highlight w:val="none"/>
        </w:rPr>
      </w:pPr>
      <w:r>
        <w:rPr>
          <w:rStyle w:val="18"/>
          <w:rFonts w:hint="eastAsia" w:ascii="仿宋_GB2312" w:hAnsi="宋体" w:eastAsia="仿宋_GB2312"/>
          <w:b w:val="0"/>
          <w:bCs w:val="0"/>
          <w:spacing w:val="-4"/>
          <w:sz w:val="28"/>
          <w:szCs w:val="28"/>
          <w:highlight w:val="none"/>
        </w:rPr>
        <w:t>实际在用固定资产</w:t>
      </w:r>
      <w:r>
        <w:rPr>
          <w:rStyle w:val="18"/>
          <w:rFonts w:hint="eastAsia" w:ascii="仿宋_GB2312" w:hAnsi="宋体" w:eastAsia="仿宋_GB2312"/>
          <w:b w:val="0"/>
          <w:bCs w:val="0"/>
          <w:spacing w:val="-4"/>
          <w:sz w:val="28"/>
          <w:szCs w:val="28"/>
          <w:highlight w:val="none"/>
          <w:lang w:val="en-US" w:eastAsia="zh-CN"/>
        </w:rPr>
        <w:t>42.13</w:t>
      </w:r>
      <w:r>
        <w:rPr>
          <w:rStyle w:val="18"/>
          <w:rFonts w:hint="eastAsia" w:ascii="仿宋_GB2312" w:hAnsi="宋体" w:eastAsia="仿宋_GB2312"/>
          <w:b w:val="0"/>
          <w:bCs w:val="0"/>
          <w:spacing w:val="-4"/>
          <w:sz w:val="28"/>
          <w:szCs w:val="28"/>
          <w:highlight w:val="none"/>
        </w:rPr>
        <w:t>万元，固定资产利用率</w:t>
      </w:r>
      <w:r>
        <w:rPr>
          <w:rStyle w:val="18"/>
          <w:rFonts w:hint="eastAsia" w:ascii="仿宋_GB2312" w:hAnsi="宋体" w:eastAsia="仿宋_GB2312"/>
          <w:b w:val="0"/>
          <w:bCs w:val="0"/>
          <w:spacing w:val="-4"/>
          <w:sz w:val="28"/>
          <w:szCs w:val="28"/>
          <w:highlight w:val="none"/>
          <w:lang w:val="en-US" w:eastAsia="zh-CN"/>
        </w:rPr>
        <w:t>100</w:t>
      </w:r>
      <w:r>
        <w:rPr>
          <w:rStyle w:val="18"/>
          <w:rFonts w:hint="eastAsia" w:ascii="仿宋_GB2312" w:hAnsi="宋体" w:eastAsia="仿宋_GB2312"/>
          <w:b w:val="0"/>
          <w:bCs w:val="0"/>
          <w:spacing w:val="-4"/>
          <w:sz w:val="28"/>
          <w:szCs w:val="28"/>
          <w:highlight w:val="none"/>
        </w:rPr>
        <w:t>%</w:t>
      </w:r>
    </w:p>
    <w:p>
      <w:pPr>
        <w:pStyle w:val="4"/>
        <w:spacing w:line="360" w:lineRule="auto"/>
        <w:rPr>
          <w:rStyle w:val="18"/>
          <w:rFonts w:ascii="仿宋" w:hAnsi="仿宋" w:eastAsia="仿宋"/>
          <w:b/>
          <w:bCs/>
        </w:rPr>
      </w:pPr>
      <w:bookmarkStart w:id="25" w:name="_Toc70450312"/>
      <w:r>
        <w:rPr>
          <w:rStyle w:val="18"/>
          <w:rFonts w:hint="eastAsia" w:ascii="仿宋" w:hAnsi="仿宋" w:eastAsia="仿宋"/>
          <w:b/>
          <w:bCs/>
        </w:rPr>
        <w:t>（二）资产管理情况</w:t>
      </w:r>
      <w:bookmarkEnd w:id="25"/>
    </w:p>
    <w:p>
      <w:pPr>
        <w:spacing w:line="360" w:lineRule="auto"/>
        <w:ind w:firstLine="544" w:firstLineChars="200"/>
        <w:rPr>
          <w:rStyle w:val="18"/>
          <w:rFonts w:ascii="仿宋_GB2312" w:hAnsi="宋体" w:eastAsia="仿宋_GB2312"/>
          <w:b w:val="0"/>
          <w:color w:val="auto"/>
          <w:spacing w:val="-4"/>
          <w:sz w:val="28"/>
          <w:szCs w:val="28"/>
        </w:rPr>
      </w:pPr>
      <w:r>
        <w:rPr>
          <w:rStyle w:val="18"/>
          <w:rFonts w:hint="eastAsia" w:ascii="仿宋_GB2312" w:hAnsi="宋体" w:eastAsia="仿宋_GB2312"/>
          <w:b w:val="0"/>
          <w:color w:val="auto"/>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8"/>
          <w:rFonts w:ascii="仿宋_GB2312" w:hAnsi="宋体" w:eastAsia="仿宋_GB2312"/>
          <w:b w:val="0"/>
          <w:spacing w:val="-4"/>
          <w:sz w:val="28"/>
          <w:szCs w:val="28"/>
        </w:rPr>
      </w:pPr>
      <w:r>
        <w:rPr>
          <w:rStyle w:val="18"/>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7"/>
        <w:spacing w:line="360" w:lineRule="auto"/>
        <w:rPr>
          <w:rFonts w:ascii="仿宋" w:hAnsi="仿宋" w:eastAsia="仿宋"/>
          <w:sz w:val="36"/>
          <w:szCs w:val="36"/>
        </w:rPr>
      </w:pPr>
      <w:bookmarkStart w:id="26" w:name="_Toc70450313"/>
      <w:r>
        <w:rPr>
          <w:rFonts w:hint="eastAsia" w:ascii="仿宋" w:hAnsi="仿宋" w:eastAsia="仿宋"/>
          <w:sz w:val="36"/>
          <w:szCs w:val="36"/>
        </w:rPr>
        <w:t>五、部门单位整体支出绩效情况</w:t>
      </w:r>
      <w:bookmarkEnd w:id="26"/>
    </w:p>
    <w:p>
      <w:pPr>
        <w:pStyle w:val="4"/>
        <w:spacing w:line="360" w:lineRule="auto"/>
        <w:ind w:firstLine="643" w:firstLineChars="200"/>
        <w:rPr>
          <w:rStyle w:val="18"/>
          <w:rFonts w:ascii="仿宋" w:hAnsi="仿宋" w:eastAsia="仿宋"/>
          <w:b/>
          <w:bCs/>
        </w:rPr>
      </w:pPr>
      <w:bookmarkStart w:id="27" w:name="_Toc70450314"/>
      <w:r>
        <w:rPr>
          <w:rStyle w:val="18"/>
          <w:rFonts w:hint="eastAsia" w:ascii="仿宋" w:hAnsi="仿宋" w:eastAsia="仿宋"/>
          <w:b/>
          <w:bCs/>
        </w:rPr>
        <w:t>（一）经济效益评价</w:t>
      </w:r>
      <w:bookmarkEnd w:id="27"/>
    </w:p>
    <w:p>
      <w:pPr>
        <w:spacing w:line="360" w:lineRule="auto"/>
        <w:ind w:firstLine="544" w:firstLineChars="200"/>
        <w:rPr>
          <w:rStyle w:val="18"/>
          <w:rFonts w:ascii="仿宋_GB2312" w:hAnsi="宋体" w:eastAsia="仿宋_GB2312"/>
          <w:b w:val="0"/>
          <w:bCs w:val="0"/>
          <w:spacing w:val="-4"/>
          <w:sz w:val="28"/>
          <w:szCs w:val="28"/>
          <w:highlight w:val="none"/>
        </w:rPr>
      </w:pPr>
      <w:r>
        <w:rPr>
          <w:rStyle w:val="18"/>
          <w:rFonts w:hint="eastAsia" w:ascii="仿宋_GB2312" w:hAnsi="宋体" w:eastAsia="仿宋_GB2312"/>
          <w:b w:val="0"/>
          <w:bCs w:val="0"/>
          <w:spacing w:val="-4"/>
          <w:sz w:val="28"/>
          <w:szCs w:val="28"/>
          <w:highlight w:val="none"/>
        </w:rPr>
        <w:t>202</w:t>
      </w:r>
      <w:r>
        <w:rPr>
          <w:rStyle w:val="18"/>
          <w:rFonts w:hint="eastAsia" w:ascii="仿宋_GB2312" w:hAnsi="宋体" w:eastAsia="仿宋_GB2312"/>
          <w:b w:val="0"/>
          <w:bCs w:val="0"/>
          <w:spacing w:val="-4"/>
          <w:sz w:val="28"/>
          <w:szCs w:val="28"/>
          <w:highlight w:val="none"/>
          <w:lang w:val="en-US" w:eastAsia="zh-CN"/>
        </w:rPr>
        <w:t>1</w:t>
      </w:r>
      <w:r>
        <w:rPr>
          <w:rStyle w:val="18"/>
          <w:rFonts w:hint="eastAsia" w:ascii="仿宋_GB2312" w:hAnsi="宋体" w:eastAsia="仿宋_GB2312"/>
          <w:b w:val="0"/>
          <w:bCs w:val="0"/>
          <w:spacing w:val="-4"/>
          <w:sz w:val="28"/>
          <w:szCs w:val="28"/>
          <w:highlight w:val="none"/>
        </w:rPr>
        <w:t>年度我单位年初预算安排3294.14万元，年中调整</w:t>
      </w:r>
      <w:r>
        <w:rPr>
          <w:rStyle w:val="18"/>
          <w:rFonts w:ascii="仿宋_GB2312" w:hAnsi="宋体" w:eastAsia="仿宋_GB2312"/>
          <w:b w:val="0"/>
          <w:bCs w:val="0"/>
          <w:spacing w:val="-4"/>
          <w:sz w:val="28"/>
          <w:szCs w:val="28"/>
          <w:highlight w:val="none"/>
        </w:rPr>
        <w:t xml:space="preserve"> </w:t>
      </w:r>
      <w:r>
        <w:rPr>
          <w:rStyle w:val="18"/>
          <w:rFonts w:hint="eastAsia" w:ascii="仿宋_GB2312" w:hAnsi="宋体" w:eastAsia="仿宋_GB2312"/>
          <w:b w:val="0"/>
          <w:bCs w:val="0"/>
          <w:spacing w:val="-4"/>
          <w:sz w:val="28"/>
          <w:szCs w:val="28"/>
          <w:highlight w:val="none"/>
          <w:lang w:val="en-US" w:eastAsia="zh-CN"/>
        </w:rPr>
        <w:t>7188.28</w:t>
      </w:r>
      <w:r>
        <w:rPr>
          <w:rStyle w:val="18"/>
          <w:rFonts w:hint="eastAsia" w:ascii="仿宋_GB2312" w:hAnsi="宋体" w:eastAsia="仿宋_GB2312"/>
          <w:b w:val="0"/>
          <w:bCs w:val="0"/>
          <w:spacing w:val="-4"/>
          <w:sz w:val="28"/>
          <w:szCs w:val="28"/>
          <w:highlight w:val="none"/>
        </w:rPr>
        <w:t>万元，截止12月底支出</w:t>
      </w:r>
      <w:r>
        <w:rPr>
          <w:rStyle w:val="18"/>
          <w:rFonts w:hint="eastAsia" w:ascii="仿宋_GB2312" w:hAnsi="宋体" w:eastAsia="仿宋_GB2312"/>
          <w:b w:val="0"/>
          <w:bCs w:val="0"/>
          <w:spacing w:val="-4"/>
          <w:sz w:val="28"/>
          <w:szCs w:val="28"/>
          <w:highlight w:val="none"/>
          <w:lang w:val="en-US" w:eastAsia="zh-CN"/>
        </w:rPr>
        <w:t>10482.42</w:t>
      </w:r>
      <w:r>
        <w:rPr>
          <w:rStyle w:val="18"/>
          <w:rFonts w:hint="eastAsia" w:ascii="仿宋_GB2312" w:hAnsi="宋体" w:eastAsia="仿宋_GB2312"/>
          <w:b w:val="0"/>
          <w:bCs w:val="0"/>
          <w:spacing w:val="-4"/>
          <w:sz w:val="28"/>
          <w:szCs w:val="28"/>
          <w:highlight w:val="none"/>
        </w:rPr>
        <w:t>万元，执行率100%。</w:t>
      </w:r>
    </w:p>
    <w:p>
      <w:pPr>
        <w:spacing w:line="360" w:lineRule="auto"/>
        <w:ind w:firstLine="544" w:firstLineChars="200"/>
        <w:rPr>
          <w:rStyle w:val="18"/>
          <w:rFonts w:ascii="仿宋_GB2312" w:hAnsi="宋体" w:eastAsia="仿宋_GB2312"/>
          <w:b w:val="0"/>
          <w:bCs w:val="0"/>
          <w:spacing w:val="-4"/>
          <w:sz w:val="28"/>
          <w:szCs w:val="28"/>
        </w:rPr>
      </w:pPr>
      <w:r>
        <w:rPr>
          <w:rStyle w:val="18"/>
          <w:rFonts w:ascii="仿宋_GB2312" w:hAnsi="宋体" w:eastAsia="仿宋_GB2312"/>
          <w:b w:val="0"/>
          <w:bCs w:val="0"/>
          <w:spacing w:val="-4"/>
          <w:sz w:val="28"/>
          <w:szCs w:val="28"/>
        </w:rPr>
        <w:t>1</w:t>
      </w:r>
      <w:r>
        <w:rPr>
          <w:rStyle w:val="18"/>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8"/>
          <w:rFonts w:ascii="仿宋_GB2312" w:hAnsi="宋体" w:eastAsia="仿宋_GB2312"/>
          <w:b w:val="0"/>
          <w:bCs w:val="0"/>
          <w:spacing w:val="-4"/>
          <w:sz w:val="28"/>
          <w:szCs w:val="28"/>
        </w:rPr>
      </w:pPr>
      <w:r>
        <w:rPr>
          <w:rStyle w:val="18"/>
          <w:rFonts w:ascii="仿宋_GB2312" w:hAnsi="宋体" w:eastAsia="仿宋_GB2312"/>
          <w:b w:val="0"/>
          <w:bCs w:val="0"/>
          <w:spacing w:val="-4"/>
          <w:sz w:val="28"/>
          <w:szCs w:val="28"/>
        </w:rPr>
        <w:t>2</w:t>
      </w:r>
      <w:r>
        <w:rPr>
          <w:rStyle w:val="18"/>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p>
    <w:p>
      <w:pPr>
        <w:pStyle w:val="4"/>
        <w:spacing w:line="360" w:lineRule="auto"/>
        <w:ind w:firstLine="643" w:firstLineChars="200"/>
        <w:rPr>
          <w:rStyle w:val="18"/>
          <w:rFonts w:ascii="仿宋" w:hAnsi="仿宋" w:eastAsia="仿宋"/>
          <w:b/>
          <w:bCs/>
        </w:rPr>
      </w:pPr>
      <w:bookmarkStart w:id="28" w:name="_Toc70450315"/>
      <w:r>
        <w:rPr>
          <w:rStyle w:val="18"/>
          <w:rFonts w:hint="eastAsia" w:ascii="仿宋" w:hAnsi="仿宋" w:eastAsia="仿宋"/>
          <w:b/>
          <w:bCs/>
        </w:rPr>
        <w:t>（二）效率性评价</w:t>
      </w:r>
      <w:bookmarkEnd w:id="28"/>
    </w:p>
    <w:p>
      <w:pPr>
        <w:spacing w:line="360" w:lineRule="auto"/>
        <w:ind w:firstLine="544" w:firstLineChars="200"/>
        <w:rPr>
          <w:rStyle w:val="18"/>
          <w:rFonts w:hint="eastAsia" w:ascii="仿宋_GB2312" w:hAnsi="宋体" w:eastAsia="仿宋_GB2312"/>
          <w:b w:val="0"/>
          <w:bCs w:val="0"/>
          <w:spacing w:val="-4"/>
          <w:sz w:val="28"/>
          <w:szCs w:val="28"/>
        </w:rPr>
      </w:pPr>
      <w:r>
        <w:rPr>
          <w:rStyle w:val="18"/>
          <w:rFonts w:hint="eastAsia" w:ascii="仿宋_GB2312" w:hAnsi="宋体" w:eastAsia="仿宋_GB2312"/>
          <w:b w:val="0"/>
          <w:bCs w:val="0"/>
          <w:spacing w:val="-4"/>
          <w:sz w:val="28"/>
          <w:szCs w:val="28"/>
        </w:rPr>
        <w:t>2021年，在县委政府的大力支持和正确领导下，我单位迎难而上、务实重干，积极推动各项工作取得了新的进展，为促进经济持续健康发展与社会和谐稳定提供了有力的支撑和保障。</w:t>
      </w:r>
    </w:p>
    <w:p>
      <w:pPr>
        <w:spacing w:line="360" w:lineRule="auto"/>
        <w:ind w:firstLine="544" w:firstLineChars="200"/>
        <w:rPr>
          <w:rStyle w:val="18"/>
          <w:rFonts w:hint="eastAsia" w:ascii="仿宋_GB2312" w:hAnsi="宋体" w:eastAsia="仿宋_GB2312" w:cs="Times New Roman"/>
          <w:b w:val="0"/>
          <w:bCs w:val="0"/>
          <w:spacing w:val="-4"/>
          <w:sz w:val="28"/>
          <w:szCs w:val="28"/>
        </w:rPr>
      </w:pPr>
      <w:r>
        <w:rPr>
          <w:rStyle w:val="18"/>
          <w:rFonts w:hint="eastAsia" w:ascii="仿宋_GB2312" w:hAnsi="宋体" w:eastAsia="仿宋_GB2312" w:cs="Times New Roman"/>
          <w:b w:val="0"/>
          <w:bCs w:val="0"/>
          <w:spacing w:val="-4"/>
          <w:sz w:val="28"/>
          <w:szCs w:val="28"/>
        </w:rPr>
        <w:t>1.搭建平台聚资源，减负稳岗扩就业。一是健全南疆籍来特务工人员管理，</w:t>
      </w:r>
      <w:r>
        <w:rPr>
          <w:rStyle w:val="18"/>
          <w:rFonts w:hint="eastAsia" w:ascii="仿宋_GB2312" w:hAnsi="宋体" w:eastAsia="仿宋_GB2312" w:cs="Times New Roman"/>
          <w:b w:val="0"/>
          <w:bCs w:val="0"/>
          <w:spacing w:val="-4"/>
          <w:sz w:val="28"/>
          <w:szCs w:val="28"/>
          <w:lang w:val="en-US" w:eastAsia="zh-CN"/>
        </w:rPr>
        <w:t>持续做好南疆来伊务工人员服务管理和保障，督促用工企业和单位严格落实疫情防控各项措施，做到人员防护、服务、管理和保障“四个到位”。</w:t>
      </w:r>
      <w:r>
        <w:rPr>
          <w:rStyle w:val="18"/>
          <w:rFonts w:hint="eastAsia" w:ascii="仿宋_GB2312" w:hAnsi="宋体" w:eastAsia="仿宋_GB2312" w:cs="Times New Roman"/>
          <w:b w:val="0"/>
          <w:bCs w:val="0"/>
          <w:spacing w:val="-4"/>
          <w:sz w:val="28"/>
          <w:szCs w:val="28"/>
        </w:rPr>
        <w:t>为南疆籍来特人员</w:t>
      </w:r>
      <w:r>
        <w:rPr>
          <w:rStyle w:val="18"/>
          <w:rFonts w:hint="eastAsia" w:ascii="仿宋_GB2312" w:hAnsi="宋体" w:eastAsia="仿宋_GB2312" w:cs="Times New Roman"/>
          <w:b w:val="0"/>
          <w:bCs w:val="0"/>
          <w:spacing w:val="-4"/>
          <w:sz w:val="28"/>
          <w:szCs w:val="28"/>
          <w:lang w:val="en-US" w:eastAsia="zh-CN"/>
        </w:rPr>
        <w:t>夫妻工</w:t>
      </w:r>
      <w:r>
        <w:rPr>
          <w:rStyle w:val="18"/>
          <w:rFonts w:hint="eastAsia" w:ascii="仿宋_GB2312" w:hAnsi="宋体" w:eastAsia="仿宋_GB2312" w:cs="Times New Roman"/>
          <w:b w:val="0"/>
          <w:bCs w:val="0"/>
          <w:spacing w:val="-4"/>
          <w:sz w:val="28"/>
          <w:szCs w:val="28"/>
        </w:rPr>
        <w:t>解决了夫妻房，建立健全务工人员工资常态化管理机制，开展常态化慰问核查，强化疫情防护宣传，并做好务工人员思想教育工作。二是利用互联网平台，通过大学生就业群和“掌上八卦城”公众号，每日发布网络招聘信息469条516个岗位，大学生实名登记849人，</w:t>
      </w:r>
      <w:r>
        <w:rPr>
          <w:rStyle w:val="18"/>
          <w:rFonts w:hint="eastAsia" w:ascii="仿宋_GB2312" w:hAnsi="宋体" w:eastAsia="仿宋_GB2312" w:cs="Times New Roman"/>
          <w:b w:val="0"/>
          <w:bCs w:val="0"/>
          <w:spacing w:val="-4"/>
          <w:sz w:val="28"/>
          <w:szCs w:val="28"/>
          <w:lang w:val="en-US" w:eastAsia="zh-CN"/>
        </w:rPr>
        <w:t>全力做好高校毕业生就业工作。疫情防控期间，通过线上积极开展各项登记服务工作，按照《伊犁州2020年高校毕业生就业创业工作要点》等文件要求，通过线上线下相结合的方式持续做好高校毕业生摸排、登记、管理及政策宣传、岗位开发。通过县、乡、村以及访惠聚工作队等基层力量，“点对点”向未就业高校毕业生进行精准推送、招聘等各项就业创业服务工作，已完成对区外高校毕业生263人就业跟踪服务，就业维护率95.29%，区内高校毕业生628人，维护就业率93.3%。</w:t>
      </w:r>
      <w:r>
        <w:rPr>
          <w:rStyle w:val="18"/>
          <w:rFonts w:hint="eastAsia" w:ascii="仿宋_GB2312" w:hAnsi="宋体" w:eastAsia="仿宋_GB2312" w:cs="Times New Roman"/>
          <w:b w:val="0"/>
          <w:bCs w:val="0"/>
          <w:spacing w:val="-4"/>
          <w:sz w:val="28"/>
          <w:szCs w:val="28"/>
        </w:rPr>
        <w:t>三是摸底梳理来伊务工就业并签订1年以上劳动合同务工人员524人，有组织在我县实习大中专毕业生人员116人。审核申请交通补助的企业</w:t>
      </w:r>
      <w:r>
        <w:rPr>
          <w:rStyle w:val="18"/>
          <w:rFonts w:hint="eastAsia" w:ascii="仿宋_GB2312" w:hAnsi="宋体" w:eastAsia="仿宋_GB2312" w:cs="Times New Roman"/>
          <w:b w:val="0"/>
          <w:bCs w:val="0"/>
          <w:spacing w:val="-4"/>
          <w:sz w:val="28"/>
          <w:szCs w:val="28"/>
          <w:lang w:val="en-US" w:eastAsia="zh-CN"/>
        </w:rPr>
        <w:t>22</w:t>
      </w:r>
      <w:r>
        <w:rPr>
          <w:rStyle w:val="18"/>
          <w:rFonts w:hint="eastAsia" w:ascii="仿宋_GB2312" w:hAnsi="宋体" w:eastAsia="仿宋_GB2312" w:cs="Times New Roman"/>
          <w:b w:val="0"/>
          <w:bCs w:val="0"/>
          <w:spacing w:val="-4"/>
          <w:sz w:val="28"/>
          <w:szCs w:val="28"/>
        </w:rPr>
        <w:t>家，共计</w:t>
      </w:r>
      <w:r>
        <w:rPr>
          <w:rStyle w:val="18"/>
          <w:rFonts w:hint="eastAsia" w:ascii="仿宋_GB2312" w:hAnsi="宋体" w:eastAsia="仿宋_GB2312" w:cs="Times New Roman"/>
          <w:b w:val="0"/>
          <w:bCs w:val="0"/>
          <w:spacing w:val="-4"/>
          <w:sz w:val="28"/>
          <w:szCs w:val="28"/>
          <w:lang w:val="en-US" w:eastAsia="zh-CN"/>
        </w:rPr>
        <w:t>213</w:t>
      </w:r>
      <w:r>
        <w:rPr>
          <w:rStyle w:val="18"/>
          <w:rFonts w:hint="eastAsia" w:ascii="仿宋_GB2312" w:hAnsi="宋体" w:eastAsia="仿宋_GB2312" w:cs="Times New Roman"/>
          <w:b w:val="0"/>
          <w:bCs w:val="0"/>
          <w:spacing w:val="-4"/>
          <w:sz w:val="28"/>
          <w:szCs w:val="28"/>
        </w:rPr>
        <w:t>人，涉及补贴金额</w:t>
      </w:r>
      <w:r>
        <w:rPr>
          <w:rStyle w:val="18"/>
          <w:rFonts w:hint="eastAsia" w:ascii="仿宋_GB2312" w:hAnsi="宋体" w:eastAsia="仿宋_GB2312" w:cs="Times New Roman"/>
          <w:b w:val="0"/>
          <w:bCs w:val="0"/>
          <w:spacing w:val="-4"/>
          <w:sz w:val="28"/>
          <w:szCs w:val="28"/>
          <w:lang w:val="en-US" w:eastAsia="zh-CN"/>
        </w:rPr>
        <w:t>9.7</w:t>
      </w:r>
      <w:r>
        <w:rPr>
          <w:rStyle w:val="18"/>
          <w:rFonts w:hint="eastAsia" w:ascii="仿宋_GB2312" w:hAnsi="宋体" w:eastAsia="仿宋_GB2312" w:cs="Times New Roman"/>
          <w:b w:val="0"/>
          <w:bCs w:val="0"/>
          <w:spacing w:val="-4"/>
          <w:sz w:val="28"/>
          <w:szCs w:val="28"/>
        </w:rPr>
        <w:t>万元。四是</w:t>
      </w:r>
      <w:r>
        <w:rPr>
          <w:rStyle w:val="18"/>
          <w:rFonts w:hint="eastAsia" w:ascii="仿宋_GB2312" w:hAnsi="宋体" w:eastAsia="仿宋_GB2312" w:cs="Times New Roman"/>
          <w:b w:val="0"/>
          <w:bCs w:val="0"/>
          <w:spacing w:val="-4"/>
          <w:sz w:val="28"/>
          <w:szCs w:val="28"/>
          <w:lang w:val="en-US" w:eastAsia="zh-CN"/>
        </w:rPr>
        <w:t>以预防和根治欠薪为重点，常态化开展各类企业和在建工程项目工资支付情况排查，督促依法支付劳动者工资报酬。畅通劳动者维权渠道，开展24小时劳动监察电话日常巡察建筑工程，对拖欠农民工工资投诉和项目工程工资支付实行动态监控，</w:t>
      </w:r>
      <w:r>
        <w:rPr>
          <w:rStyle w:val="18"/>
          <w:rFonts w:hint="eastAsia" w:ascii="仿宋_GB2312" w:hAnsi="宋体" w:eastAsia="仿宋_GB2312" w:cs="Times New Roman"/>
          <w:b w:val="0"/>
          <w:bCs w:val="0"/>
          <w:spacing w:val="-4"/>
          <w:sz w:val="28"/>
          <w:szCs w:val="28"/>
          <w:lang w:val="zh-CN" w:eastAsia="zh-CN"/>
        </w:rPr>
        <w:t>建立劳动保障违法台帐，及时受理，及时化解。</w:t>
      </w:r>
      <w:r>
        <w:rPr>
          <w:rStyle w:val="18"/>
          <w:rFonts w:hint="eastAsia" w:ascii="仿宋_GB2312" w:hAnsi="宋体" w:eastAsia="仿宋_GB2312" w:cs="Times New Roman"/>
          <w:b w:val="0"/>
          <w:bCs w:val="0"/>
          <w:spacing w:val="-4"/>
          <w:sz w:val="28"/>
          <w:szCs w:val="28"/>
        </w:rPr>
        <w:t>五是自年初以来，积极开发就业岗位，做好季节性用工岗位对接和服务，签订县外、州内有组织转移务工岗位近千个。开发疆内外岗位875个，县域内岗位1200个。疫情结束复工复产以来，组织农牧民参与本地西梅采摘、建筑工地务工以及外出至昭苏、农十师184团等地开展季节性务工，形成了疫情解封后就近就地劳动力转移新高潮。</w:t>
      </w:r>
    </w:p>
    <w:p>
      <w:pPr>
        <w:spacing w:line="360" w:lineRule="auto"/>
        <w:ind w:firstLine="544" w:firstLineChars="200"/>
        <w:rPr>
          <w:rStyle w:val="18"/>
          <w:rFonts w:hint="eastAsia" w:ascii="仿宋_GB2312" w:hAnsi="宋体" w:eastAsia="仿宋_GB2312" w:cs="Times New Roman"/>
          <w:b w:val="0"/>
          <w:bCs w:val="0"/>
          <w:spacing w:val="-4"/>
          <w:sz w:val="28"/>
          <w:szCs w:val="28"/>
        </w:rPr>
      </w:pPr>
      <w:r>
        <w:rPr>
          <w:rStyle w:val="18"/>
          <w:rFonts w:hint="eastAsia" w:ascii="仿宋_GB2312" w:hAnsi="宋体" w:eastAsia="仿宋_GB2312" w:cs="Times New Roman"/>
          <w:b w:val="0"/>
          <w:bCs w:val="0"/>
          <w:spacing w:val="-4"/>
          <w:sz w:val="28"/>
          <w:szCs w:val="28"/>
        </w:rPr>
        <w:t>2.政策红利添活力，加快推动稳就业。一是落实落细各项政策，审核梳理以工代训补贴资金</w:t>
      </w:r>
      <w:r>
        <w:rPr>
          <w:rStyle w:val="18"/>
          <w:rFonts w:hint="eastAsia" w:ascii="仿宋_GB2312" w:hAnsi="宋体" w:eastAsia="仿宋_GB2312" w:cs="Times New Roman"/>
          <w:b w:val="0"/>
          <w:bCs w:val="0"/>
          <w:spacing w:val="-4"/>
          <w:sz w:val="28"/>
          <w:szCs w:val="28"/>
          <w:lang w:val="en-US" w:eastAsia="zh-CN"/>
        </w:rPr>
        <w:t>51.06</w:t>
      </w:r>
      <w:r>
        <w:rPr>
          <w:rStyle w:val="18"/>
          <w:rFonts w:hint="eastAsia" w:ascii="仿宋_GB2312" w:hAnsi="宋体" w:eastAsia="仿宋_GB2312" w:cs="Times New Roman"/>
          <w:b w:val="0"/>
          <w:bCs w:val="0"/>
          <w:spacing w:val="-4"/>
          <w:sz w:val="28"/>
          <w:szCs w:val="28"/>
        </w:rPr>
        <w:t>万元，涉及</w:t>
      </w:r>
      <w:r>
        <w:rPr>
          <w:rStyle w:val="18"/>
          <w:rFonts w:hint="eastAsia" w:ascii="仿宋_GB2312" w:hAnsi="宋体" w:eastAsia="仿宋_GB2312" w:cs="Times New Roman"/>
          <w:b w:val="0"/>
          <w:bCs w:val="0"/>
          <w:spacing w:val="-4"/>
          <w:sz w:val="28"/>
          <w:szCs w:val="28"/>
          <w:lang w:val="en-US" w:eastAsia="zh-CN"/>
        </w:rPr>
        <w:t>68</w:t>
      </w:r>
      <w:r>
        <w:rPr>
          <w:rStyle w:val="18"/>
          <w:rFonts w:hint="eastAsia" w:ascii="仿宋_GB2312" w:hAnsi="宋体" w:eastAsia="仿宋_GB2312" w:cs="Times New Roman"/>
          <w:b w:val="0"/>
          <w:bCs w:val="0"/>
          <w:spacing w:val="-4"/>
          <w:sz w:val="28"/>
          <w:szCs w:val="28"/>
        </w:rPr>
        <w:t>家企业</w:t>
      </w:r>
      <w:r>
        <w:rPr>
          <w:rStyle w:val="18"/>
          <w:rFonts w:hint="eastAsia" w:ascii="仿宋_GB2312" w:hAnsi="宋体" w:eastAsia="仿宋_GB2312" w:cs="Times New Roman"/>
          <w:b w:val="0"/>
          <w:bCs w:val="0"/>
          <w:spacing w:val="-4"/>
          <w:sz w:val="28"/>
          <w:szCs w:val="28"/>
          <w:lang w:val="en-US" w:eastAsia="zh-CN"/>
        </w:rPr>
        <w:t>1702</w:t>
      </w:r>
      <w:r>
        <w:rPr>
          <w:rStyle w:val="18"/>
          <w:rFonts w:hint="eastAsia" w:ascii="仿宋_GB2312" w:hAnsi="宋体" w:eastAsia="仿宋_GB2312" w:cs="Times New Roman"/>
          <w:b w:val="0"/>
          <w:bCs w:val="0"/>
          <w:spacing w:val="-4"/>
          <w:sz w:val="28"/>
          <w:szCs w:val="28"/>
        </w:rPr>
        <w:t>人。二是大力宣传《伊犁州扶持中小微企业和个体工商户复工复产健康发展十条措施》，通过微信、QQ和入户走访，积极落实惠民惠企政策落实。目前通过劳动力转移工作站实现政府有组织输出劳动力储备人员280人</w:t>
      </w:r>
      <w:r>
        <w:rPr>
          <w:rStyle w:val="18"/>
          <w:rFonts w:hint="eastAsia" w:ascii="仿宋_GB2312" w:hAnsi="宋体" w:eastAsia="仿宋_GB2312" w:cs="Times New Roman"/>
          <w:b w:val="0"/>
          <w:bCs w:val="0"/>
          <w:spacing w:val="-4"/>
          <w:sz w:val="28"/>
          <w:szCs w:val="28"/>
          <w:lang w:val="en-US" w:eastAsia="zh-CN"/>
        </w:rPr>
        <w:t>次</w:t>
      </w:r>
      <w:r>
        <w:rPr>
          <w:rStyle w:val="18"/>
          <w:rFonts w:hint="eastAsia" w:ascii="仿宋_GB2312" w:hAnsi="宋体" w:eastAsia="仿宋_GB2312" w:cs="Times New Roman"/>
          <w:b w:val="0"/>
          <w:bCs w:val="0"/>
          <w:spacing w:val="-4"/>
          <w:sz w:val="28"/>
          <w:szCs w:val="28"/>
        </w:rPr>
        <w:t>。三是大力开展就业扶贫车帮扶脱贫就业。依托旅游产业，争取上级就业资金。鼓励在旅游景区及交通驿站设置由各贫困户经营的就业扶贫车。截至目前，全县5个乡镇开展全域旅游开发就业扶贫车83个，带动贫困人员就业150人。四是利用网络“云招聘”、视频调度会平台开展就业扶贫专项活动。疫情期间，以对口援疆劳务输出工作站作为就业供需信息对接平台，通过建立“劳务输出合作基地”和“转移就业培训基地”，将我县劳动力就业需求与工作站用工岗位进行准确对接，对接岗位210个。与此同时组建“劳务输出协会”，通过本地西梅、洋葱、甜菜、蘑菇等特色种植产业带动农牧民就近就地就业劳务增收。组织收挖用工量每日最高可达1900人。</w:t>
      </w:r>
    </w:p>
    <w:p>
      <w:pPr>
        <w:spacing w:line="360" w:lineRule="auto"/>
        <w:ind w:firstLine="544" w:firstLineChars="200"/>
        <w:rPr>
          <w:rStyle w:val="18"/>
          <w:rFonts w:hint="eastAsia" w:ascii="仿宋_GB2312" w:hAnsi="宋体" w:eastAsia="仿宋_GB2312" w:cs="Times New Roman"/>
          <w:b w:val="0"/>
          <w:bCs w:val="0"/>
          <w:spacing w:val="-4"/>
          <w:sz w:val="28"/>
          <w:szCs w:val="28"/>
          <w:lang w:val="en-US" w:eastAsia="zh-CN"/>
        </w:rPr>
      </w:pPr>
      <w:r>
        <w:rPr>
          <w:rStyle w:val="18"/>
          <w:rFonts w:hint="eastAsia" w:ascii="仿宋_GB2312" w:hAnsi="宋体" w:eastAsia="仿宋_GB2312" w:cs="Times New Roman"/>
          <w:b w:val="0"/>
          <w:bCs w:val="0"/>
          <w:spacing w:val="-4"/>
          <w:sz w:val="28"/>
          <w:szCs w:val="28"/>
        </w:rPr>
        <w:t>3.“扶志+扶智”双组合，增配就业扶贫“助推器”。紧紧围绕实现“培训一人、就业一人、脱贫一户”，全力做好精准扶贫劳动力技能培训工作。完成</w:t>
      </w:r>
      <w:r>
        <w:rPr>
          <w:rStyle w:val="18"/>
          <w:rFonts w:hint="eastAsia" w:ascii="仿宋_GB2312" w:hAnsi="宋体" w:eastAsia="仿宋_GB2312" w:cs="Times New Roman"/>
          <w:b w:val="0"/>
          <w:bCs w:val="0"/>
          <w:spacing w:val="-4"/>
          <w:sz w:val="28"/>
          <w:szCs w:val="28"/>
          <w:lang w:val="en-US" w:eastAsia="zh-CN"/>
        </w:rPr>
        <w:t>983</w:t>
      </w:r>
      <w:r>
        <w:rPr>
          <w:rStyle w:val="18"/>
          <w:rFonts w:hint="eastAsia" w:ascii="仿宋_GB2312" w:hAnsi="宋体" w:eastAsia="仿宋_GB2312" w:cs="Times New Roman"/>
          <w:b w:val="0"/>
          <w:bCs w:val="0"/>
          <w:spacing w:val="-4"/>
          <w:sz w:val="28"/>
          <w:szCs w:val="28"/>
        </w:rPr>
        <w:t>名建档立卡贫困人员的技能培训。一是实施产业技能培训。结合旅游产业，以全域旅游发展为导向，以旅游带动就业为目标，实施全员全覆盖培训。年初以来，出租车司机、餐厅、民宿、宾馆服务人员均接受了技能培训，完成短期旅游知识创业培训1500人次。二是拓宽就业创业服务，积极搭建劳动者供需平台，加大村级公益性岗位开发力度，拓宽建档立卡贫困户就业门路。开展了“县委书记送岗位” 活动，开发乡镇治安协管、道路维护等村级公益性岗位240个，护林员公益性岗位160个，实现贫困劳动力就业困难人员实现过渡性安置就业。三是就业服务促脱贫。强化内生动力，实现自主脱贫就业，政府有组织转移就业贫困家庭劳动力209人。四是疫情期间，与疆内外10余家劳务派遣公司、本县73家在建工程项目对接用工岗位，为全面复工复产劳动力转移增收做好劳务储备。打造了离街和新城两处“务工佳苑”，为乡镇到县务工人员提供务工期间集中食宿，为劳务人员创造良好环境。</w:t>
      </w:r>
      <w:r>
        <w:rPr>
          <w:rStyle w:val="18"/>
          <w:rFonts w:hint="eastAsia" w:ascii="仿宋_GB2312" w:hAnsi="宋体" w:eastAsia="仿宋_GB2312" w:cs="Times New Roman"/>
          <w:b w:val="0"/>
          <w:bCs w:val="0"/>
          <w:spacing w:val="-4"/>
          <w:sz w:val="28"/>
          <w:szCs w:val="28"/>
          <w:lang w:val="en-US" w:eastAsia="zh-CN"/>
        </w:rPr>
        <w:t>五是狠抓脱贫攻坚转移就业专项行动，通过五位一体，动态实现有就业能力和就业意愿的贫困劳动力就业全覆盖。通过建立政府主导、乡镇发动、村级输出、团场接收、劳动力就业“五位一体”机制，有序组织劳务输出，着力解决部分贫困劳动力“不想去、不敢去、不能去、去不了”问题。常态化维护好自治区农村劳动力转移就业管理系统，确保信息动态、准确。通过组织人员进行深入乡村调研、走访与座谈等形式，对农村劳动力转移、临时性务工等情况进行了摸底和动员宣传。受两次疫情影响，靠务工为生人员在封闭期间生产生活秩序受到极大影响，从思想和内心深处感受到生活来源的重要性。更加激发了广大农牧民内生动力，更坚定了农牧民外出务工的积极性，使广大农牧民更加清楚不外出务工就没有收入，倍加珍惜劳动力转移岗位。通过组织保障和政策支持。聚焦每一个贫困劳动力，着力于高度组织化，认真做好贫困家庭劳动者实名制动态管理，摸清底数、准确掌握贫困家庭劳动力现状，全面完成贫困家庭劳动力实名制录入工作，建立有劳动能力和就业愿望贫困人口就业台帐。强化以奖代补补贴、交通补贴等政策支撑，有序组织开展“定向式”输出就业，有计划、有组织、有保障地推动劳动力转移就业，让有劳动能力的贫困户每个人稳定务工就业。通过全方位、多渠道劳动力转移输出不仅实现农牧民群众的就业增收，有效提高了全县劳务产业的组织化、规模化、品牌化水平，有力地推动劳务输出由低层次转向高质量发展。</w:t>
      </w:r>
    </w:p>
    <w:p>
      <w:pPr>
        <w:spacing w:line="360" w:lineRule="auto"/>
        <w:ind w:firstLine="544" w:firstLineChars="200"/>
        <w:rPr>
          <w:rStyle w:val="18"/>
          <w:rFonts w:hint="eastAsia" w:ascii="仿宋_GB2312" w:hAnsi="宋体" w:eastAsia="仿宋_GB2312" w:cs="Times New Roman"/>
          <w:b w:val="0"/>
          <w:bCs w:val="0"/>
          <w:spacing w:val="-4"/>
          <w:sz w:val="28"/>
          <w:szCs w:val="28"/>
        </w:rPr>
      </w:pPr>
      <w:r>
        <w:rPr>
          <w:rStyle w:val="18"/>
          <w:rFonts w:hint="eastAsia" w:ascii="仿宋_GB2312" w:hAnsi="宋体" w:eastAsia="仿宋_GB2312" w:cs="Times New Roman"/>
          <w:b w:val="0"/>
          <w:bCs w:val="0"/>
          <w:spacing w:val="-4"/>
          <w:sz w:val="28"/>
          <w:szCs w:val="28"/>
        </w:rPr>
        <w:t>4.坚持社保惠民，不断完善社会保障体系。一是以多方式、多渠道的政策宣传为坚实基础，继续强化宣传载体。通过“伊犁州人社”微信公众号及其它媒体，推送新疆社保网上大厅操作指南和新疆智慧人社APP使用手册，最大限度的引导群众通过网上办理业务。二是深入推进“同舟计划”专项扩面行动。采取电视、广播、网络等媒体集中宣传与政策咨询日相结合的方式，对建筑业参加工伤保险尤其是按项目参保的政策措施进行了宣传，不断提升知晓率。同时落实与安监、住建等部门联合监督检查，督促引导企业为职工缴纳工伤保险，并不断优化建筑行业企业办理登记参保缴费手续，实现建筑业从业人员全部参加工伤保险，截止目前，全县工伤保险参保10692人。三是创新社保管理服务。实现了社保基金全程电子化管理，社保缴费银行划拨、待遇网上支付等。</w:t>
      </w:r>
    </w:p>
    <w:p>
      <w:pPr>
        <w:spacing w:line="360" w:lineRule="auto"/>
        <w:ind w:firstLine="544" w:firstLineChars="200"/>
        <w:rPr>
          <w:rStyle w:val="18"/>
          <w:rFonts w:hint="eastAsia" w:ascii="仿宋_GB2312" w:hAnsi="宋体" w:eastAsia="仿宋_GB2312" w:cs="Times New Roman"/>
          <w:b w:val="0"/>
          <w:bCs w:val="0"/>
          <w:spacing w:val="-4"/>
          <w:sz w:val="28"/>
          <w:szCs w:val="28"/>
        </w:rPr>
      </w:pPr>
      <w:r>
        <w:rPr>
          <w:rStyle w:val="18"/>
          <w:rFonts w:hint="eastAsia" w:ascii="仿宋_GB2312" w:hAnsi="宋体" w:eastAsia="仿宋_GB2312" w:cs="Times New Roman"/>
          <w:b w:val="0"/>
          <w:bCs w:val="0"/>
          <w:spacing w:val="-4"/>
          <w:sz w:val="28"/>
          <w:szCs w:val="28"/>
        </w:rPr>
        <w:t>5.坚持预防为主，积极构建和谐劳动关系。一是深入推进和谐劳动关系建设。积极推进信用体系建设工作，进一步规范诚信评定标准，建立诚信企业名单动态调整机制，纵深推进劳动保障诚信企业创建。二是进一步加大劳动监察执法力度。围绕劳动关系领域存在的各类突出问题，开展清理农民工工资、支付最低工资标准制度执行情况等一系列专项执法检查，检查个体经营组织、建筑业等用人单位，不断提高劳动用工管理合法性、规范性。三是依法规范做好信访工作。加强人民调解和行政调解有机结合，拓宽信访矛盾解决渠道。建立“信访事项网上办理系统”，确保信访事项全程跟踪落实，受理办结信访件32件。</w:t>
      </w:r>
    </w:p>
    <w:p>
      <w:pPr>
        <w:spacing w:line="360" w:lineRule="auto"/>
        <w:ind w:firstLine="544" w:firstLineChars="200"/>
        <w:rPr>
          <w:rStyle w:val="18"/>
          <w:rFonts w:hint="eastAsia" w:ascii="仿宋_GB2312" w:hAnsi="宋体" w:eastAsia="仿宋_GB2312" w:cs="Times New Roman"/>
          <w:b w:val="0"/>
          <w:bCs w:val="0"/>
          <w:spacing w:val="-4"/>
          <w:sz w:val="28"/>
          <w:szCs w:val="28"/>
        </w:rPr>
      </w:pPr>
      <w:r>
        <w:rPr>
          <w:rStyle w:val="18"/>
          <w:rFonts w:hint="eastAsia" w:ascii="仿宋_GB2312" w:hAnsi="宋体" w:eastAsia="仿宋_GB2312" w:cs="Times New Roman"/>
          <w:b w:val="0"/>
          <w:bCs w:val="0"/>
          <w:spacing w:val="-4"/>
          <w:sz w:val="28"/>
          <w:szCs w:val="28"/>
        </w:rPr>
        <w:t>6.克服疫情困难稳就业保民生。针对新冠肺炎疫情带来的不利影响，扎实做好稳就业工作，实行减负、稳岗、扩就业等多项措施，实施阶段性、有针对性的减免降费政策，积极推动企业复工复产。实现社保减征、免征政策1</w:t>
      </w:r>
      <w:r>
        <w:rPr>
          <w:rStyle w:val="18"/>
          <w:rFonts w:hint="eastAsia" w:ascii="仿宋_GB2312" w:hAnsi="宋体" w:eastAsia="仿宋_GB2312" w:cs="Times New Roman"/>
          <w:b w:val="0"/>
          <w:bCs w:val="0"/>
          <w:spacing w:val="-4"/>
          <w:sz w:val="28"/>
          <w:szCs w:val="28"/>
          <w:lang w:val="en-US" w:eastAsia="zh-CN"/>
        </w:rPr>
        <w:t>40</w:t>
      </w:r>
      <w:r>
        <w:rPr>
          <w:rStyle w:val="18"/>
          <w:rFonts w:hint="eastAsia" w:ascii="仿宋_GB2312" w:hAnsi="宋体" w:eastAsia="仿宋_GB2312" w:cs="Times New Roman"/>
          <w:b w:val="0"/>
          <w:bCs w:val="0"/>
          <w:spacing w:val="-4"/>
          <w:sz w:val="28"/>
          <w:szCs w:val="28"/>
        </w:rPr>
        <w:t>家企业，</w:t>
      </w:r>
      <w:r>
        <w:rPr>
          <w:rStyle w:val="18"/>
          <w:rFonts w:hint="eastAsia" w:ascii="仿宋_GB2312" w:hAnsi="宋体" w:eastAsia="仿宋_GB2312" w:cs="Times New Roman"/>
          <w:b w:val="0"/>
          <w:bCs w:val="0"/>
          <w:spacing w:val="-4"/>
          <w:sz w:val="28"/>
          <w:szCs w:val="28"/>
          <w:lang w:val="en-US" w:eastAsia="zh-CN"/>
        </w:rPr>
        <w:t>惠</w:t>
      </w:r>
      <w:r>
        <w:rPr>
          <w:rStyle w:val="18"/>
          <w:rFonts w:hint="eastAsia" w:ascii="仿宋_GB2312" w:hAnsi="宋体" w:eastAsia="仿宋_GB2312" w:cs="Times New Roman"/>
          <w:b w:val="0"/>
          <w:bCs w:val="0"/>
          <w:spacing w:val="-4"/>
          <w:sz w:val="28"/>
          <w:szCs w:val="28"/>
        </w:rPr>
        <w:t>及1</w:t>
      </w:r>
      <w:r>
        <w:rPr>
          <w:rStyle w:val="18"/>
          <w:rFonts w:hint="eastAsia" w:ascii="仿宋_GB2312" w:hAnsi="宋体" w:eastAsia="仿宋_GB2312" w:cs="Times New Roman"/>
          <w:b w:val="0"/>
          <w:bCs w:val="0"/>
          <w:spacing w:val="-4"/>
          <w:sz w:val="28"/>
          <w:szCs w:val="28"/>
          <w:lang w:val="en-US" w:eastAsia="zh-CN"/>
        </w:rPr>
        <w:t>753</w:t>
      </w:r>
      <w:r>
        <w:rPr>
          <w:rStyle w:val="18"/>
          <w:rFonts w:hint="eastAsia" w:ascii="仿宋_GB2312" w:hAnsi="宋体" w:eastAsia="仿宋_GB2312" w:cs="Times New Roman"/>
          <w:b w:val="0"/>
          <w:bCs w:val="0"/>
          <w:spacing w:val="-4"/>
          <w:sz w:val="28"/>
          <w:szCs w:val="28"/>
        </w:rPr>
        <w:t>人，</w:t>
      </w:r>
      <w:r>
        <w:rPr>
          <w:rStyle w:val="18"/>
          <w:rFonts w:hint="eastAsia" w:ascii="仿宋_GB2312" w:hAnsi="宋体" w:eastAsia="仿宋_GB2312" w:cs="Times New Roman"/>
          <w:b w:val="0"/>
          <w:bCs w:val="0"/>
          <w:spacing w:val="-4"/>
          <w:sz w:val="28"/>
          <w:szCs w:val="28"/>
          <w:lang w:val="en-US" w:eastAsia="zh-CN"/>
        </w:rPr>
        <w:t>817.32</w:t>
      </w:r>
      <w:r>
        <w:rPr>
          <w:rStyle w:val="18"/>
          <w:rFonts w:hint="eastAsia" w:ascii="仿宋_GB2312" w:hAnsi="宋体" w:eastAsia="仿宋_GB2312" w:cs="Times New Roman"/>
          <w:b w:val="0"/>
          <w:bCs w:val="0"/>
          <w:spacing w:val="-4"/>
          <w:sz w:val="28"/>
          <w:szCs w:val="28"/>
        </w:rPr>
        <w:t>万元。享受稳岗补贴83户62.09万元，完成率100%。累计兑现灵活就业社保补贴、自主创业补贴、企业一次性吸纳就业补贴512人384.95万元，累计发放失业补助金3</w:t>
      </w:r>
      <w:r>
        <w:rPr>
          <w:rStyle w:val="18"/>
          <w:rFonts w:hint="eastAsia" w:ascii="仿宋_GB2312" w:hAnsi="宋体" w:eastAsia="仿宋_GB2312" w:cs="Times New Roman"/>
          <w:b w:val="0"/>
          <w:bCs w:val="0"/>
          <w:spacing w:val="-4"/>
          <w:sz w:val="28"/>
          <w:szCs w:val="28"/>
          <w:lang w:val="en-US" w:eastAsia="zh-CN"/>
        </w:rPr>
        <w:t>33</w:t>
      </w:r>
      <w:r>
        <w:rPr>
          <w:rStyle w:val="18"/>
          <w:rFonts w:hint="eastAsia" w:ascii="仿宋_GB2312" w:hAnsi="宋体" w:eastAsia="仿宋_GB2312" w:cs="Times New Roman"/>
          <w:b w:val="0"/>
          <w:bCs w:val="0"/>
          <w:spacing w:val="-4"/>
          <w:sz w:val="28"/>
          <w:szCs w:val="28"/>
        </w:rPr>
        <w:t>人1</w:t>
      </w:r>
      <w:r>
        <w:rPr>
          <w:rStyle w:val="18"/>
          <w:rFonts w:hint="eastAsia" w:ascii="仿宋_GB2312" w:hAnsi="宋体" w:eastAsia="仿宋_GB2312" w:cs="Times New Roman"/>
          <w:b w:val="0"/>
          <w:bCs w:val="0"/>
          <w:spacing w:val="-4"/>
          <w:sz w:val="28"/>
          <w:szCs w:val="28"/>
          <w:lang w:val="en-US" w:eastAsia="zh-CN"/>
        </w:rPr>
        <w:t>16.9</w:t>
      </w:r>
      <w:r>
        <w:rPr>
          <w:rStyle w:val="18"/>
          <w:rFonts w:hint="eastAsia" w:ascii="仿宋_GB2312" w:hAnsi="宋体" w:eastAsia="仿宋_GB2312" w:cs="Times New Roman"/>
          <w:b w:val="0"/>
          <w:bCs w:val="0"/>
          <w:spacing w:val="-4"/>
          <w:sz w:val="28"/>
          <w:szCs w:val="28"/>
        </w:rPr>
        <w:t>万元。</w:t>
      </w:r>
    </w:p>
    <w:p>
      <w:pPr>
        <w:pStyle w:val="4"/>
        <w:spacing w:line="360" w:lineRule="auto"/>
        <w:ind w:firstLine="643" w:firstLineChars="200"/>
        <w:rPr>
          <w:rStyle w:val="18"/>
          <w:rFonts w:hint="eastAsia" w:ascii="仿宋" w:hAnsi="仿宋" w:eastAsia="仿宋"/>
          <w:b/>
          <w:bCs/>
        </w:rPr>
      </w:pPr>
      <w:bookmarkStart w:id="29" w:name="_Toc70450316"/>
      <w:r>
        <w:rPr>
          <w:rStyle w:val="18"/>
          <w:rFonts w:hint="eastAsia" w:ascii="仿宋" w:hAnsi="仿宋" w:eastAsia="仿宋"/>
          <w:b/>
          <w:bCs/>
        </w:rPr>
        <w:t>（三）有效性评价</w:t>
      </w:r>
      <w:bookmarkEnd w:id="29"/>
    </w:p>
    <w:p>
      <w:pPr>
        <w:spacing w:line="360" w:lineRule="auto"/>
        <w:ind w:firstLine="544" w:firstLineChars="200"/>
        <w:rPr>
          <w:rStyle w:val="18"/>
          <w:rFonts w:hint="eastAsia" w:ascii="仿宋_GB2312" w:hAnsi="宋体" w:eastAsia="仿宋_GB2312" w:cs="Times New Roman"/>
          <w:b w:val="0"/>
          <w:bCs w:val="0"/>
          <w:spacing w:val="-4"/>
          <w:sz w:val="28"/>
          <w:szCs w:val="28"/>
          <w:highlight w:val="none"/>
        </w:rPr>
      </w:pPr>
      <w:bookmarkStart w:id="36" w:name="_GoBack"/>
      <w:r>
        <w:rPr>
          <w:rStyle w:val="18"/>
          <w:rFonts w:hint="eastAsia" w:ascii="仿宋_GB2312" w:hAnsi="宋体" w:eastAsia="仿宋_GB2312" w:cs="Times New Roman"/>
          <w:b w:val="0"/>
          <w:bCs w:val="0"/>
          <w:spacing w:val="-4"/>
          <w:sz w:val="28"/>
          <w:szCs w:val="28"/>
          <w:highlight w:val="none"/>
        </w:rPr>
        <w:t>202</w:t>
      </w:r>
      <w:r>
        <w:rPr>
          <w:rStyle w:val="18"/>
          <w:rFonts w:hint="eastAsia" w:ascii="仿宋_GB2312" w:hAnsi="宋体" w:eastAsia="仿宋_GB2312" w:cs="Times New Roman"/>
          <w:b w:val="0"/>
          <w:bCs w:val="0"/>
          <w:spacing w:val="-4"/>
          <w:sz w:val="28"/>
          <w:szCs w:val="28"/>
          <w:highlight w:val="none"/>
          <w:lang w:val="en-US" w:eastAsia="zh-CN"/>
        </w:rPr>
        <w:t>1</w:t>
      </w:r>
      <w:r>
        <w:rPr>
          <w:rStyle w:val="18"/>
          <w:rFonts w:hint="eastAsia" w:ascii="仿宋_GB2312" w:hAnsi="宋体" w:eastAsia="仿宋_GB2312" w:cs="Times New Roman"/>
          <w:b w:val="0"/>
          <w:bCs w:val="0"/>
          <w:spacing w:val="-4"/>
          <w:sz w:val="28"/>
          <w:szCs w:val="28"/>
          <w:highlight w:val="none"/>
        </w:rPr>
        <w:t>年部门支出的有效性主要体现在我单位各项工作成效上，一是加强</w:t>
      </w:r>
      <w:r>
        <w:rPr>
          <w:rStyle w:val="18"/>
          <w:rFonts w:hint="eastAsia" w:ascii="仿宋_GB2312" w:hAnsi="宋体" w:eastAsia="仿宋_GB2312" w:cs="Times New Roman"/>
          <w:b w:val="0"/>
          <w:bCs w:val="0"/>
          <w:spacing w:val="-4"/>
          <w:sz w:val="28"/>
          <w:szCs w:val="28"/>
          <w:highlight w:val="none"/>
          <w:lang w:val="en-US" w:eastAsia="zh-CN"/>
        </w:rPr>
        <w:t>就业服务，社会保险</w:t>
      </w:r>
      <w:r>
        <w:rPr>
          <w:rStyle w:val="18"/>
          <w:rFonts w:hint="eastAsia" w:ascii="仿宋_GB2312" w:hAnsi="宋体" w:eastAsia="仿宋_GB2312" w:cs="Times New Roman"/>
          <w:b w:val="0"/>
          <w:bCs w:val="0"/>
          <w:spacing w:val="-4"/>
          <w:sz w:val="28"/>
          <w:szCs w:val="28"/>
          <w:highlight w:val="none"/>
        </w:rPr>
        <w:t>经办队伍建设，提高服务能力进一步夯实，二是抓好思想政治建设能力进一步提升，三是抓好业务能力建设进一步改善，四是</w:t>
      </w:r>
      <w:r>
        <w:rPr>
          <w:rStyle w:val="18"/>
          <w:rFonts w:hint="eastAsia" w:ascii="仿宋_GB2312" w:hAnsi="宋体" w:eastAsia="仿宋_GB2312" w:cs="Times New Roman"/>
          <w:b w:val="0"/>
          <w:bCs w:val="0"/>
          <w:spacing w:val="-4"/>
          <w:sz w:val="28"/>
          <w:szCs w:val="28"/>
          <w:highlight w:val="none"/>
          <w:lang w:val="en-US" w:eastAsia="zh-CN"/>
        </w:rPr>
        <w:t>慎终如始抓好常态化疫情防控</w:t>
      </w:r>
      <w:r>
        <w:rPr>
          <w:rStyle w:val="18"/>
          <w:rFonts w:hint="eastAsia" w:ascii="仿宋_GB2312" w:hAnsi="宋体" w:eastAsia="仿宋_GB2312" w:cs="Times New Roman"/>
          <w:b w:val="0"/>
          <w:bCs w:val="0"/>
          <w:spacing w:val="-4"/>
          <w:sz w:val="28"/>
          <w:szCs w:val="28"/>
          <w:highlight w:val="none"/>
        </w:rPr>
        <w:t>进一步提高，详细情况如下：</w:t>
      </w:r>
    </w:p>
    <w:p>
      <w:pPr>
        <w:spacing w:line="360" w:lineRule="auto"/>
        <w:ind w:firstLine="544" w:firstLineChars="200"/>
        <w:rPr>
          <w:rStyle w:val="18"/>
          <w:rFonts w:ascii="仿宋_GB2312" w:eastAsia="仿宋_GB2312" w:hAnsiTheme="minorEastAsia"/>
          <w:b w:val="0"/>
          <w:spacing w:val="-4"/>
          <w:sz w:val="28"/>
          <w:szCs w:val="28"/>
          <w:highlight w:val="none"/>
        </w:rPr>
      </w:pPr>
      <w:r>
        <w:rPr>
          <w:rStyle w:val="18"/>
          <w:rFonts w:hint="eastAsia" w:ascii="仿宋_GB2312" w:hAnsi="宋体" w:eastAsia="仿宋_GB2312" w:cs="Times New Roman"/>
          <w:b w:val="0"/>
          <w:bCs w:val="0"/>
          <w:spacing w:val="-4"/>
          <w:sz w:val="28"/>
          <w:szCs w:val="28"/>
          <w:highlight w:val="none"/>
        </w:rPr>
        <w:t>特克斯县人力资源和社会保障局部门单位整体绩效目标共设置</w:t>
      </w:r>
      <w:r>
        <w:rPr>
          <w:rStyle w:val="18"/>
          <w:rFonts w:hint="eastAsia" w:ascii="仿宋_GB2312" w:eastAsia="仿宋_GB2312" w:hAnsiTheme="minorEastAsia"/>
          <w:b w:val="0"/>
          <w:spacing w:val="-4"/>
          <w:sz w:val="28"/>
          <w:szCs w:val="28"/>
          <w:highlight w:val="none"/>
        </w:rPr>
        <w:t>一</w:t>
      </w:r>
      <w:bookmarkEnd w:id="36"/>
      <w:r>
        <w:rPr>
          <w:rStyle w:val="18"/>
          <w:rFonts w:hint="eastAsia" w:ascii="仿宋_GB2312" w:eastAsia="仿宋_GB2312" w:hAnsiTheme="minorEastAsia"/>
          <w:b w:val="0"/>
          <w:spacing w:val="-4"/>
          <w:sz w:val="28"/>
          <w:szCs w:val="28"/>
        </w:rPr>
        <w:t>级指</w:t>
      </w:r>
      <w:r>
        <w:rPr>
          <w:rStyle w:val="18"/>
          <w:rFonts w:hint="eastAsia" w:ascii="仿宋_GB2312" w:eastAsia="仿宋_GB2312" w:hAnsiTheme="minorEastAsia"/>
          <w:b w:val="0"/>
          <w:spacing w:val="-4"/>
          <w:sz w:val="28"/>
          <w:szCs w:val="28"/>
          <w:highlight w:val="none"/>
        </w:rPr>
        <w:t>标4个，二级指标6个，三级指标 15个，详细说明如下</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ascii="仿宋_GB2312" w:hAnsi="宋体" w:eastAsia="仿宋_GB2312"/>
          <w:b w:val="0"/>
          <w:spacing w:val="-4"/>
          <w:sz w:val="28"/>
          <w:szCs w:val="28"/>
          <w:highlight w:val="none"/>
        </w:rPr>
        <w:t>1</w:t>
      </w:r>
      <w:r>
        <w:rPr>
          <w:rStyle w:val="18"/>
          <w:rFonts w:hint="eastAsia" w:ascii="仿宋_GB2312" w:hAnsi="宋体" w:eastAsia="仿宋_GB2312"/>
          <w:b w:val="0"/>
          <w:spacing w:val="-4"/>
          <w:sz w:val="28"/>
          <w:szCs w:val="28"/>
          <w:highlight w:val="none"/>
        </w:rPr>
        <w:t>、数量指标：</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指标1：保障在职人员人数，指标值：=44人，实际完成值：44人，指标完成率100%；</w:t>
      </w:r>
    </w:p>
    <w:p>
      <w:pPr>
        <w:snapToGrid w:val="0"/>
        <w:spacing w:line="360" w:lineRule="auto"/>
        <w:ind w:firstLine="544" w:firstLineChars="200"/>
        <w:rPr>
          <w:rStyle w:val="18"/>
          <w:rFonts w:hint="eastAsia"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w:t>
      </w:r>
      <w:r>
        <w:rPr>
          <w:rStyle w:val="18"/>
          <w:rFonts w:ascii="仿宋_GB2312" w:hAnsi="宋体" w:eastAsia="仿宋_GB2312"/>
          <w:b w:val="0"/>
          <w:spacing w:val="-4"/>
          <w:sz w:val="28"/>
          <w:szCs w:val="28"/>
          <w:highlight w:val="none"/>
        </w:rPr>
        <w:t>2</w:t>
      </w:r>
      <w:r>
        <w:rPr>
          <w:rStyle w:val="18"/>
          <w:rFonts w:hint="eastAsia" w:ascii="仿宋_GB2312" w:hAnsi="宋体" w:eastAsia="仿宋_GB2312"/>
          <w:b w:val="0"/>
          <w:spacing w:val="-4"/>
          <w:sz w:val="28"/>
          <w:szCs w:val="28"/>
          <w:highlight w:val="none"/>
        </w:rPr>
        <w:t>：在职人员社保缴费人数，指标值：=44人，实际完成值：44人，指标完成率100%；</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指标3：发放机关养老待遇人数，指标值：=3313人，实际完成值：3313人，指标完成率100%；</w:t>
      </w:r>
    </w:p>
    <w:p>
      <w:pPr>
        <w:snapToGrid w:val="0"/>
        <w:spacing w:line="360" w:lineRule="auto"/>
        <w:ind w:firstLine="544" w:firstLineChars="200"/>
        <w:rPr>
          <w:rStyle w:val="18"/>
          <w:rFonts w:hint="eastAsia" w:ascii="仿宋_GB2312" w:hAnsi="宋体" w:eastAsia="仿宋_GB2312"/>
          <w:b w:val="0"/>
          <w:spacing w:val="-4"/>
          <w:sz w:val="28"/>
          <w:szCs w:val="28"/>
          <w:highlight w:val="none"/>
          <w:lang w:eastAsia="zh-CN"/>
        </w:rPr>
      </w:pPr>
      <w:r>
        <w:rPr>
          <w:rStyle w:val="18"/>
          <w:rFonts w:hint="eastAsia" w:ascii="仿宋_GB2312" w:hAnsi="宋体" w:eastAsia="仿宋_GB2312"/>
          <w:b w:val="0"/>
          <w:spacing w:val="-4"/>
          <w:sz w:val="28"/>
          <w:szCs w:val="28"/>
          <w:highlight w:val="none"/>
        </w:rPr>
        <w:t>指标4：月领取城乡居民养老保险待遇人数，指标值：=9494人，实际完成值：</w:t>
      </w:r>
      <w:r>
        <w:rPr>
          <w:rStyle w:val="18"/>
          <w:rFonts w:hint="eastAsia" w:ascii="仿宋_GB2312" w:hAnsi="宋体" w:eastAsia="仿宋_GB2312"/>
          <w:b w:val="0"/>
          <w:spacing w:val="-4"/>
          <w:sz w:val="28"/>
          <w:szCs w:val="28"/>
          <w:highlight w:val="none"/>
          <w:lang w:val="en-US" w:eastAsia="zh-CN"/>
        </w:rPr>
        <w:t>9494</w:t>
      </w:r>
      <w:r>
        <w:rPr>
          <w:rStyle w:val="18"/>
          <w:rFonts w:hint="eastAsia" w:ascii="仿宋_GB2312" w:hAnsi="宋体" w:eastAsia="仿宋_GB2312"/>
          <w:b w:val="0"/>
          <w:spacing w:val="-4"/>
          <w:sz w:val="28"/>
          <w:szCs w:val="28"/>
          <w:highlight w:val="none"/>
        </w:rPr>
        <w:t>人，指标完成率100%</w:t>
      </w:r>
      <w:r>
        <w:rPr>
          <w:rStyle w:val="18"/>
          <w:rFonts w:hint="eastAsia" w:ascii="仿宋_GB2312" w:hAnsi="宋体" w:eastAsia="仿宋_GB2312"/>
          <w:b w:val="0"/>
          <w:spacing w:val="-4"/>
          <w:sz w:val="28"/>
          <w:szCs w:val="28"/>
          <w:highlight w:val="none"/>
          <w:lang w:eastAsia="zh-CN"/>
        </w:rPr>
        <w:t>；</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ascii="仿宋_GB2312" w:hAnsi="宋体" w:eastAsia="仿宋_GB2312"/>
          <w:b w:val="0"/>
          <w:spacing w:val="-4"/>
          <w:sz w:val="28"/>
          <w:szCs w:val="28"/>
          <w:highlight w:val="none"/>
        </w:rPr>
        <w:t>2</w:t>
      </w:r>
      <w:r>
        <w:rPr>
          <w:rStyle w:val="18"/>
          <w:rFonts w:hint="eastAsia" w:ascii="仿宋_GB2312" w:hAnsi="宋体" w:eastAsia="仿宋_GB2312"/>
          <w:b w:val="0"/>
          <w:spacing w:val="-4"/>
          <w:sz w:val="28"/>
          <w:szCs w:val="28"/>
          <w:highlight w:val="none"/>
        </w:rPr>
        <w:t>、质量指标：</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指标1：全局人员工资及社保正常发放率，指标值：=100%，实际完成值：100% ，指标完成率100%；</w:t>
      </w:r>
    </w:p>
    <w:p>
      <w:pPr>
        <w:snapToGrid w:val="0"/>
        <w:spacing w:line="360" w:lineRule="auto"/>
        <w:ind w:firstLine="544" w:firstLineChars="200"/>
        <w:rPr>
          <w:rStyle w:val="18"/>
          <w:rFonts w:hint="eastAsia"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w:t>
      </w:r>
      <w:r>
        <w:rPr>
          <w:rStyle w:val="18"/>
          <w:rFonts w:ascii="仿宋_GB2312" w:hAnsi="宋体" w:eastAsia="仿宋_GB2312"/>
          <w:b w:val="0"/>
          <w:spacing w:val="-4"/>
          <w:sz w:val="28"/>
          <w:szCs w:val="28"/>
          <w:highlight w:val="none"/>
        </w:rPr>
        <w:t>2</w:t>
      </w:r>
      <w:r>
        <w:rPr>
          <w:rStyle w:val="18"/>
          <w:rFonts w:hint="eastAsia" w:ascii="仿宋_GB2312" w:hAnsi="宋体" w:eastAsia="仿宋_GB2312"/>
          <w:b w:val="0"/>
          <w:spacing w:val="-4"/>
          <w:sz w:val="28"/>
          <w:szCs w:val="28"/>
          <w:highlight w:val="none"/>
        </w:rPr>
        <w:t>：养老金发放准确率，指标值：=100%，实际完成值：100% ，指标完成率100%；</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ascii="仿宋_GB2312" w:hAnsi="宋体" w:eastAsia="仿宋_GB2312"/>
          <w:b w:val="0"/>
          <w:spacing w:val="-4"/>
          <w:sz w:val="28"/>
          <w:szCs w:val="28"/>
          <w:highlight w:val="none"/>
        </w:rPr>
        <w:t>3</w:t>
      </w:r>
      <w:r>
        <w:rPr>
          <w:rStyle w:val="18"/>
          <w:rFonts w:hint="eastAsia" w:ascii="仿宋_GB2312" w:hAnsi="宋体" w:eastAsia="仿宋_GB2312"/>
          <w:b w:val="0"/>
          <w:spacing w:val="-4"/>
          <w:sz w:val="28"/>
          <w:szCs w:val="28"/>
          <w:highlight w:val="none"/>
        </w:rPr>
        <w:t>、时效指标：</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指标1：养老金发放及时性，指标值：=100%，实际完成值：100% ，指标完成率100%；</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w:t>
      </w:r>
      <w:r>
        <w:rPr>
          <w:rStyle w:val="18"/>
          <w:rFonts w:ascii="仿宋_GB2312" w:hAnsi="宋体" w:eastAsia="仿宋_GB2312"/>
          <w:b w:val="0"/>
          <w:spacing w:val="-4"/>
          <w:sz w:val="28"/>
          <w:szCs w:val="28"/>
          <w:highlight w:val="none"/>
        </w:rPr>
        <w:t>2</w:t>
      </w:r>
      <w:r>
        <w:rPr>
          <w:rStyle w:val="18"/>
          <w:rFonts w:hint="eastAsia" w:ascii="仿宋_GB2312" w:hAnsi="宋体" w:eastAsia="仿宋_GB2312"/>
          <w:b w:val="0"/>
          <w:spacing w:val="-4"/>
          <w:sz w:val="28"/>
          <w:szCs w:val="28"/>
          <w:highlight w:val="none"/>
        </w:rPr>
        <w:t>：工资补助发放及时性，指标值：=100%，实际完成值：100% ，指标完成率100%；</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ascii="仿宋_GB2312" w:hAnsi="宋体" w:eastAsia="仿宋_GB2312"/>
          <w:b w:val="0"/>
          <w:spacing w:val="-4"/>
          <w:sz w:val="28"/>
          <w:szCs w:val="28"/>
          <w:highlight w:val="none"/>
        </w:rPr>
        <w:t>4</w:t>
      </w:r>
      <w:r>
        <w:rPr>
          <w:rStyle w:val="18"/>
          <w:rFonts w:hint="eastAsia" w:ascii="仿宋_GB2312" w:hAnsi="宋体" w:eastAsia="仿宋_GB2312"/>
          <w:b w:val="0"/>
          <w:spacing w:val="-4"/>
          <w:sz w:val="28"/>
          <w:szCs w:val="28"/>
          <w:highlight w:val="none"/>
        </w:rPr>
        <w:t>、成本指标：</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指标1：人员工资福利及补助人均支出，指标值：≤10.32万元/人 ，实际完成值：10.32万元/人，指标完成率100%；</w:t>
      </w:r>
    </w:p>
    <w:p>
      <w:pPr>
        <w:snapToGrid w:val="0"/>
        <w:spacing w:line="360" w:lineRule="auto"/>
        <w:ind w:firstLine="544" w:firstLineChars="200"/>
        <w:rPr>
          <w:rStyle w:val="18"/>
          <w:rFonts w:hint="eastAsia"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w:t>
      </w:r>
      <w:r>
        <w:rPr>
          <w:rStyle w:val="18"/>
          <w:rFonts w:ascii="仿宋_GB2312" w:hAnsi="宋体" w:eastAsia="仿宋_GB2312"/>
          <w:b w:val="0"/>
          <w:spacing w:val="-4"/>
          <w:sz w:val="28"/>
          <w:szCs w:val="28"/>
          <w:highlight w:val="none"/>
        </w:rPr>
        <w:t>2</w:t>
      </w:r>
      <w:r>
        <w:rPr>
          <w:rStyle w:val="18"/>
          <w:rFonts w:hint="eastAsia" w:ascii="仿宋_GB2312" w:hAnsi="宋体" w:eastAsia="仿宋_GB2312"/>
          <w:b w:val="0"/>
          <w:spacing w:val="-4"/>
          <w:sz w:val="28"/>
          <w:szCs w:val="28"/>
          <w:highlight w:val="none"/>
        </w:rPr>
        <w:t>：机关事业单位养老保险补助资金人均支出，指标值：≤0.66万/人，实际完成值：0.66万/人 ，指标完成率100%；</w:t>
      </w:r>
    </w:p>
    <w:p>
      <w:pPr>
        <w:snapToGrid w:val="0"/>
        <w:spacing w:line="360" w:lineRule="auto"/>
        <w:ind w:firstLine="544" w:firstLineChars="200"/>
        <w:rPr>
          <w:rStyle w:val="18"/>
          <w:rFonts w:hint="eastAsia"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指标3：城乡居民基本养老保险基金的补助资金人均支出，指标值：≤0.0</w:t>
      </w:r>
      <w:r>
        <w:rPr>
          <w:rStyle w:val="18"/>
          <w:rFonts w:hint="eastAsia" w:ascii="仿宋_GB2312" w:hAnsi="宋体" w:eastAsia="仿宋_GB2312"/>
          <w:b w:val="0"/>
          <w:spacing w:val="-4"/>
          <w:sz w:val="28"/>
          <w:szCs w:val="28"/>
          <w:highlight w:val="none"/>
          <w:lang w:val="en-US" w:eastAsia="zh-CN"/>
        </w:rPr>
        <w:t>7</w:t>
      </w:r>
      <w:r>
        <w:rPr>
          <w:rStyle w:val="18"/>
          <w:rFonts w:hint="eastAsia" w:ascii="仿宋_GB2312" w:hAnsi="宋体" w:eastAsia="仿宋_GB2312"/>
          <w:b w:val="0"/>
          <w:spacing w:val="-4"/>
          <w:sz w:val="28"/>
          <w:szCs w:val="28"/>
          <w:highlight w:val="none"/>
        </w:rPr>
        <w:t>万/人，实际完成值：0.07万元/人 ，指标完成率100%；</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5、社会效益指标：</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指标1：提高工作效率和质量提高，指标值有效提高，实际完成值：有效提高，指标完成率100%；</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w:t>
      </w:r>
      <w:r>
        <w:rPr>
          <w:rStyle w:val="18"/>
          <w:rFonts w:ascii="仿宋_GB2312" w:hAnsi="宋体" w:eastAsia="仿宋_GB2312"/>
          <w:b w:val="0"/>
          <w:spacing w:val="-4"/>
          <w:sz w:val="28"/>
          <w:szCs w:val="28"/>
          <w:highlight w:val="none"/>
        </w:rPr>
        <w:t>2</w:t>
      </w:r>
      <w:r>
        <w:rPr>
          <w:rStyle w:val="18"/>
          <w:rFonts w:hint="eastAsia" w:ascii="仿宋_GB2312" w:hAnsi="宋体" w:eastAsia="仿宋_GB2312"/>
          <w:b w:val="0"/>
          <w:spacing w:val="-4"/>
          <w:sz w:val="28"/>
          <w:szCs w:val="28"/>
          <w:highlight w:val="none"/>
        </w:rPr>
        <w:t>：困难群众生活得到保障 ，指标值：有效保障，实际完成值：有效保障，指标完成率100%；</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6、满意度指标：</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指标1：参保人员满意度，指标值：≥95%，实际完成值：9</w:t>
      </w:r>
      <w:r>
        <w:rPr>
          <w:rStyle w:val="18"/>
          <w:rFonts w:hint="eastAsia" w:ascii="仿宋_GB2312" w:hAnsi="宋体" w:eastAsia="仿宋_GB2312"/>
          <w:b w:val="0"/>
          <w:spacing w:val="-4"/>
          <w:sz w:val="28"/>
          <w:szCs w:val="28"/>
          <w:highlight w:val="none"/>
          <w:lang w:val="en-US" w:eastAsia="zh-CN"/>
        </w:rPr>
        <w:t>5</w:t>
      </w:r>
      <w:r>
        <w:rPr>
          <w:rStyle w:val="18"/>
          <w:rFonts w:hint="eastAsia" w:ascii="仿宋_GB2312" w:hAnsi="宋体" w:eastAsia="仿宋_GB2312"/>
          <w:b w:val="0"/>
          <w:spacing w:val="-4"/>
          <w:sz w:val="28"/>
          <w:szCs w:val="28"/>
          <w:highlight w:val="none"/>
        </w:rPr>
        <w:t>%，指标完成率100%；</w:t>
      </w:r>
    </w:p>
    <w:p>
      <w:pPr>
        <w:snapToGrid w:val="0"/>
        <w:spacing w:line="360" w:lineRule="auto"/>
        <w:ind w:firstLine="544" w:firstLineChars="200"/>
        <w:rPr>
          <w:rStyle w:val="18"/>
          <w:rFonts w:hint="eastAsia"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w:t>
      </w:r>
      <w:r>
        <w:rPr>
          <w:rStyle w:val="18"/>
          <w:rFonts w:ascii="仿宋_GB2312" w:hAnsi="宋体" w:eastAsia="仿宋_GB2312"/>
          <w:b w:val="0"/>
          <w:spacing w:val="-4"/>
          <w:sz w:val="28"/>
          <w:szCs w:val="28"/>
          <w:highlight w:val="none"/>
        </w:rPr>
        <w:t>2</w:t>
      </w:r>
      <w:r>
        <w:rPr>
          <w:rStyle w:val="18"/>
          <w:rFonts w:hint="eastAsia" w:ascii="仿宋_GB2312" w:hAnsi="宋体" w:eastAsia="仿宋_GB2312"/>
          <w:b w:val="0"/>
          <w:spacing w:val="-4"/>
          <w:sz w:val="28"/>
          <w:szCs w:val="28"/>
          <w:highlight w:val="none"/>
        </w:rPr>
        <w:t>：干部职工满意度，指标值：≥95%，实际完成值：9</w:t>
      </w:r>
      <w:r>
        <w:rPr>
          <w:rStyle w:val="18"/>
          <w:rFonts w:hint="eastAsia" w:ascii="仿宋_GB2312" w:hAnsi="宋体" w:eastAsia="仿宋_GB2312"/>
          <w:b w:val="0"/>
          <w:spacing w:val="-4"/>
          <w:sz w:val="28"/>
          <w:szCs w:val="28"/>
          <w:highlight w:val="none"/>
          <w:lang w:val="en-US" w:eastAsia="zh-CN"/>
        </w:rPr>
        <w:t>5</w:t>
      </w:r>
      <w:r>
        <w:rPr>
          <w:rStyle w:val="18"/>
          <w:rFonts w:hint="eastAsia" w:ascii="仿宋_GB2312" w:hAnsi="宋体" w:eastAsia="仿宋_GB2312"/>
          <w:b w:val="0"/>
          <w:spacing w:val="-4"/>
          <w:sz w:val="28"/>
          <w:szCs w:val="28"/>
          <w:highlight w:val="none"/>
        </w:rPr>
        <w:t>% ，指标完成率100%。</w:t>
      </w:r>
    </w:p>
    <w:p>
      <w:pPr>
        <w:pStyle w:val="7"/>
        <w:spacing w:line="360" w:lineRule="auto"/>
        <w:rPr>
          <w:rStyle w:val="18"/>
          <w:rFonts w:hint="eastAsia" w:ascii="仿宋_GB2312" w:hAnsi="宋体" w:eastAsia="仿宋_GB2312"/>
          <w:b w:val="0"/>
          <w:bCs/>
          <w:spacing w:val="-4"/>
          <w:sz w:val="28"/>
          <w:szCs w:val="28"/>
          <w:highlight w:val="yellow"/>
        </w:rPr>
      </w:pPr>
      <w:bookmarkStart w:id="30" w:name="_Toc70450317"/>
      <w:r>
        <w:rPr>
          <w:rFonts w:hint="eastAsia" w:ascii="仿宋" w:hAnsi="仿宋" w:eastAsia="仿宋"/>
          <w:sz w:val="36"/>
          <w:szCs w:val="36"/>
          <w:lang w:bidi="ar"/>
        </w:rPr>
        <w:t>六、存在的主要问题</w:t>
      </w:r>
      <w:bookmarkEnd w:id="30"/>
    </w:p>
    <w:p>
      <w:pPr>
        <w:pStyle w:val="14"/>
        <w:widowControl/>
        <w:spacing w:before="40" w:beforeAutospacing="0" w:after="0" w:afterAutospacing="0" w:line="520" w:lineRule="atLeast"/>
        <w:ind w:firstLine="544" w:firstLineChars="200"/>
        <w:jc w:val="both"/>
        <w:rPr>
          <w:rStyle w:val="18"/>
          <w:rFonts w:hint="eastAsia" w:ascii="仿宋_GB2312" w:hAnsi="宋体" w:eastAsia="仿宋_GB2312" w:cstheme="minorBidi"/>
          <w:b w:val="0"/>
          <w:bCs w:val="0"/>
          <w:color w:val="auto"/>
          <w:spacing w:val="-4"/>
          <w:kern w:val="2"/>
          <w:sz w:val="28"/>
          <w:szCs w:val="28"/>
          <w:lang w:val="en-US" w:eastAsia="zh-CN" w:bidi="ar-SA"/>
        </w:rPr>
      </w:pPr>
      <w:r>
        <w:rPr>
          <w:rStyle w:val="18"/>
          <w:rFonts w:hint="eastAsia" w:ascii="仿宋_GB2312" w:hAnsi="宋体" w:eastAsia="仿宋_GB2312" w:cstheme="minorBidi"/>
          <w:b w:val="0"/>
          <w:bCs w:val="0"/>
          <w:color w:val="auto"/>
          <w:spacing w:val="-4"/>
          <w:kern w:val="2"/>
          <w:sz w:val="28"/>
          <w:szCs w:val="28"/>
          <w:lang w:val="en-US" w:eastAsia="zh-CN" w:bidi="ar-SA"/>
        </w:rPr>
        <w:t>(一)预算执行存在偏差</w:t>
      </w:r>
    </w:p>
    <w:p>
      <w:pPr>
        <w:pStyle w:val="14"/>
        <w:widowControl/>
        <w:spacing w:before="40" w:beforeAutospacing="0" w:after="0" w:afterAutospacing="0" w:line="520" w:lineRule="atLeast"/>
        <w:ind w:firstLine="520"/>
        <w:jc w:val="both"/>
        <w:rPr>
          <w:rStyle w:val="18"/>
          <w:rFonts w:hint="eastAsia" w:ascii="仿宋_GB2312" w:hAnsi="宋体" w:eastAsia="仿宋_GB2312" w:cstheme="minorBidi"/>
          <w:b w:val="0"/>
          <w:bCs w:val="0"/>
          <w:color w:val="auto"/>
          <w:spacing w:val="-4"/>
          <w:kern w:val="2"/>
          <w:sz w:val="28"/>
          <w:szCs w:val="28"/>
          <w:lang w:val="en-US" w:eastAsia="zh-CN" w:bidi="ar-SA"/>
        </w:rPr>
      </w:pPr>
      <w:r>
        <w:rPr>
          <w:rStyle w:val="18"/>
          <w:rFonts w:hint="eastAsia" w:ascii="仿宋_GB2312" w:hAnsi="宋体" w:eastAsia="仿宋_GB2312" w:cstheme="minorBidi"/>
          <w:b w:val="0"/>
          <w:bCs w:val="0"/>
          <w:color w:val="auto"/>
          <w:spacing w:val="-4"/>
          <w:kern w:val="2"/>
          <w:sz w:val="28"/>
          <w:szCs w:val="28"/>
          <w:lang w:val="en-US" w:eastAsia="zh-CN" w:bidi="ar-SA"/>
        </w:rPr>
        <w:t>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pStyle w:val="31"/>
        <w:spacing w:line="560" w:lineRule="exact"/>
        <w:ind w:firstLine="544" w:firstLineChars="200"/>
        <w:rPr>
          <w:rStyle w:val="18"/>
          <w:rFonts w:hint="eastAsia" w:ascii="仿宋_GB2312" w:hAnsi="宋体" w:eastAsia="仿宋_GB2312" w:cstheme="minorBidi"/>
          <w:b w:val="0"/>
          <w:bCs w:val="0"/>
          <w:color w:val="auto"/>
          <w:spacing w:val="-4"/>
          <w:kern w:val="2"/>
          <w:sz w:val="28"/>
          <w:szCs w:val="28"/>
          <w:lang w:val="en-US" w:eastAsia="zh-CN" w:bidi="ar-SA"/>
        </w:rPr>
      </w:pPr>
      <w:r>
        <w:rPr>
          <w:rStyle w:val="18"/>
          <w:rFonts w:hint="eastAsia" w:ascii="仿宋_GB2312" w:hAnsi="宋体" w:eastAsia="仿宋_GB2312" w:cstheme="minorBidi"/>
          <w:b w:val="0"/>
          <w:bCs w:val="0"/>
          <w:color w:val="auto"/>
          <w:spacing w:val="-4"/>
          <w:kern w:val="2"/>
          <w:sz w:val="28"/>
          <w:szCs w:val="28"/>
          <w:lang w:val="en-US" w:eastAsia="zh-CN" w:bidi="ar-SA"/>
        </w:rPr>
        <w:t>（三）预算绩效管理水平仍有欠缺。在2020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pStyle w:val="14"/>
        <w:widowControl/>
        <w:spacing w:before="40" w:beforeAutospacing="0" w:after="0" w:afterAutospacing="0" w:line="520" w:lineRule="atLeast"/>
        <w:ind w:firstLine="272" w:firstLineChars="100"/>
        <w:jc w:val="both"/>
        <w:rPr>
          <w:rStyle w:val="18"/>
          <w:rFonts w:hint="eastAsia" w:ascii="仿宋_GB2312" w:hAnsi="宋体" w:eastAsia="仿宋_GB2312" w:cstheme="minorBidi"/>
          <w:b w:val="0"/>
          <w:bCs w:val="0"/>
          <w:color w:val="auto"/>
          <w:spacing w:val="-4"/>
          <w:kern w:val="2"/>
          <w:sz w:val="28"/>
          <w:szCs w:val="28"/>
          <w:lang w:val="en-US" w:eastAsia="zh-CN" w:bidi="ar-SA"/>
        </w:rPr>
      </w:pPr>
      <w:r>
        <w:rPr>
          <w:rStyle w:val="18"/>
          <w:rFonts w:hint="eastAsia" w:ascii="仿宋_GB2312" w:hAnsi="宋体" w:eastAsia="仿宋_GB2312" w:cstheme="minorBidi"/>
          <w:b w:val="0"/>
          <w:bCs w:val="0"/>
          <w:color w:val="auto"/>
          <w:spacing w:val="-4"/>
          <w:kern w:val="2"/>
          <w:sz w:val="28"/>
          <w:szCs w:val="28"/>
          <w:lang w:val="en-US" w:eastAsia="zh-CN" w:bidi="ar-SA"/>
        </w:rPr>
        <w:t>（四）固定资产管理水平有待提高</w:t>
      </w:r>
    </w:p>
    <w:p>
      <w:pPr>
        <w:pStyle w:val="14"/>
        <w:widowControl/>
        <w:spacing w:before="40" w:beforeAutospacing="0" w:after="0" w:afterAutospacing="0" w:line="520" w:lineRule="atLeast"/>
        <w:ind w:firstLine="520"/>
        <w:jc w:val="both"/>
        <w:rPr>
          <w:rStyle w:val="18"/>
          <w:rFonts w:hint="eastAsia" w:ascii="仿宋_GB2312" w:hAnsi="宋体" w:eastAsia="仿宋_GB2312" w:cstheme="minorBidi"/>
          <w:b w:val="0"/>
          <w:bCs w:val="0"/>
          <w:color w:val="auto"/>
          <w:spacing w:val="-4"/>
          <w:kern w:val="2"/>
          <w:sz w:val="28"/>
          <w:szCs w:val="28"/>
          <w:lang w:val="en-US" w:eastAsia="zh-CN" w:bidi="ar-SA"/>
        </w:rPr>
      </w:pPr>
      <w:r>
        <w:rPr>
          <w:rStyle w:val="18"/>
          <w:rFonts w:hint="eastAsia" w:ascii="仿宋_GB2312" w:hAnsi="宋体" w:eastAsia="仿宋_GB2312" w:cstheme="minorBidi"/>
          <w:b w:val="0"/>
          <w:bCs w:val="0"/>
          <w:color w:val="auto"/>
          <w:spacing w:val="-4"/>
          <w:kern w:val="2"/>
          <w:sz w:val="28"/>
          <w:szCs w:val="28"/>
          <w:lang w:val="en-US" w:eastAsia="zh-CN" w:bidi="ar-SA"/>
        </w:rPr>
        <w:t>固定资产台账未及时与账面资产金额对账且末与实物进行清点及及时清理处置报废资产导致资产台账与账面资产金额存在差异,固定资产管理继续加强中。</w:t>
      </w:r>
    </w:p>
    <w:p>
      <w:pPr>
        <w:pStyle w:val="14"/>
        <w:widowControl/>
        <w:numPr>
          <w:ilvl w:val="0"/>
          <w:numId w:val="4"/>
        </w:numPr>
        <w:spacing w:before="40" w:beforeAutospacing="0" w:after="0" w:afterAutospacing="0" w:line="520" w:lineRule="atLeast"/>
        <w:jc w:val="both"/>
        <w:outlineLvl w:val="0"/>
        <w:rPr>
          <w:rFonts w:hint="eastAsia" w:ascii="仿宋_GB2312" w:hAnsi="仿宋_GB2312" w:eastAsia="仿宋_GB2312" w:cs="仿宋_GB2312"/>
          <w:b/>
          <w:bCs/>
          <w:sz w:val="32"/>
          <w:szCs w:val="32"/>
        </w:rPr>
      </w:pPr>
      <w:bookmarkStart w:id="31" w:name="_Toc72326318"/>
      <w:r>
        <w:rPr>
          <w:rFonts w:hint="eastAsia" w:ascii="仿宋_GB2312" w:hAnsi="仿宋_GB2312" w:eastAsia="仿宋_GB2312" w:cs="仿宋_GB2312"/>
          <w:b/>
          <w:bCs/>
          <w:sz w:val="32"/>
          <w:szCs w:val="32"/>
        </w:rPr>
        <w:t>改进措施和建议</w:t>
      </w:r>
      <w:bookmarkEnd w:id="31"/>
    </w:p>
    <w:p>
      <w:pPr>
        <w:pStyle w:val="4"/>
        <w:numPr>
          <w:ilvl w:val="0"/>
          <w:numId w:val="5"/>
        </w:numPr>
        <w:spacing w:line="360" w:lineRule="auto"/>
        <w:rPr>
          <w:rStyle w:val="18"/>
          <w:rFonts w:hint="eastAsia" w:ascii="仿宋" w:hAnsi="仿宋" w:eastAsia="仿宋"/>
          <w:b/>
          <w:bCs/>
          <w:highlight w:val="none"/>
        </w:rPr>
      </w:pPr>
      <w:bookmarkStart w:id="32" w:name="_Toc70450319"/>
      <w:r>
        <w:rPr>
          <w:rStyle w:val="18"/>
          <w:rFonts w:hint="eastAsia" w:ascii="仿宋" w:hAnsi="仿宋" w:eastAsia="仿宋"/>
          <w:b/>
          <w:bCs/>
          <w:highlight w:val="none"/>
        </w:rPr>
        <w:t>改进措施</w:t>
      </w:r>
      <w:bookmarkEnd w:id="32"/>
    </w:p>
    <w:p>
      <w:pPr>
        <w:numPr>
          <w:ilvl w:val="0"/>
          <w:numId w:val="6"/>
        </w:numPr>
        <w:rPr>
          <w:rStyle w:val="18"/>
          <w:rFonts w:hint="eastAsia" w:ascii="仿宋_GB2312" w:hAnsi="宋体" w:eastAsia="仿宋_GB2312" w:cstheme="minorBidi"/>
          <w:b w:val="0"/>
          <w:bCs w:val="0"/>
          <w:color w:val="auto"/>
          <w:spacing w:val="-4"/>
          <w:kern w:val="2"/>
          <w:sz w:val="28"/>
          <w:szCs w:val="28"/>
          <w:lang w:val="en-US" w:eastAsia="zh-CN" w:bidi="ar-SA"/>
        </w:rPr>
      </w:pPr>
      <w:r>
        <w:rPr>
          <w:rStyle w:val="18"/>
          <w:rFonts w:hint="eastAsia" w:ascii="仿宋_GB2312" w:hAnsi="宋体" w:eastAsia="仿宋_GB2312" w:cstheme="minorBidi"/>
          <w:b w:val="0"/>
          <w:bCs w:val="0"/>
          <w:color w:val="auto"/>
          <w:spacing w:val="-4"/>
          <w:kern w:val="2"/>
          <w:sz w:val="28"/>
          <w:szCs w:val="28"/>
          <w:highlight w:val="none"/>
          <w:lang w:val="en-US" w:eastAsia="zh-CN" w:bidi="ar-SA"/>
        </w:rPr>
        <w:t>加强新行政单位会计制度和新预算法学习培训、规范账务处理，</w:t>
      </w:r>
      <w:r>
        <w:rPr>
          <w:rStyle w:val="18"/>
          <w:rFonts w:hint="eastAsia" w:ascii="仿宋_GB2312" w:hAnsi="宋体" w:eastAsia="仿宋_GB2312" w:cstheme="minorBidi"/>
          <w:b w:val="0"/>
          <w:bCs w:val="0"/>
          <w:color w:val="auto"/>
          <w:spacing w:val="-4"/>
          <w:kern w:val="2"/>
          <w:sz w:val="28"/>
          <w:szCs w:val="28"/>
          <w:lang w:val="en-US" w:eastAsia="zh-CN" w:bidi="ar-SA"/>
        </w:rPr>
        <w:t>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pStyle w:val="14"/>
        <w:widowControl/>
        <w:numPr>
          <w:ilvl w:val="0"/>
          <w:numId w:val="6"/>
        </w:numPr>
        <w:spacing w:before="40" w:beforeAutospacing="0" w:after="0" w:afterAutospacing="0" w:line="520" w:lineRule="atLeast"/>
        <w:ind w:left="0" w:leftChars="0" w:firstLine="0" w:firstLineChars="0"/>
        <w:jc w:val="both"/>
        <w:rPr>
          <w:rStyle w:val="18"/>
          <w:rFonts w:hint="eastAsia" w:ascii="仿宋_GB2312" w:hAnsi="宋体" w:eastAsia="仿宋_GB2312" w:cstheme="minorBidi"/>
          <w:b w:val="0"/>
          <w:bCs w:val="0"/>
          <w:color w:val="auto"/>
          <w:spacing w:val="-4"/>
          <w:kern w:val="2"/>
          <w:sz w:val="28"/>
          <w:szCs w:val="28"/>
          <w:lang w:val="en-US" w:eastAsia="zh-CN" w:bidi="ar-SA"/>
        </w:rPr>
      </w:pPr>
      <w:r>
        <w:rPr>
          <w:rStyle w:val="18"/>
          <w:rFonts w:hint="eastAsia" w:ascii="仿宋_GB2312" w:hAnsi="宋体" w:eastAsia="仿宋_GB2312" w:cstheme="minorBidi"/>
          <w:b w:val="0"/>
          <w:bCs w:val="0"/>
          <w:color w:val="auto"/>
          <w:spacing w:val="-4"/>
          <w:kern w:val="2"/>
          <w:sz w:val="28"/>
          <w:szCs w:val="28"/>
          <w:lang w:val="en-US" w:eastAsia="zh-CN" w:bidi="ar-SA"/>
        </w:rPr>
        <w:t>完善管理制度,进-步加强资产管理。严格按照《固定资产管理办法》的规定，加强固定资产管理,及时登记、更新台账，加强资产卡片管理,对各类实物资产进行全面盘点,确保账账、账实相符。</w:t>
      </w:r>
    </w:p>
    <w:p>
      <w:pPr>
        <w:pStyle w:val="14"/>
        <w:widowControl/>
        <w:spacing w:before="40" w:beforeAutospacing="0" w:after="0" w:afterAutospacing="0" w:line="520" w:lineRule="atLeast"/>
        <w:ind w:firstLine="544" w:firstLineChars="200"/>
        <w:jc w:val="both"/>
        <w:rPr>
          <w:rStyle w:val="18"/>
          <w:rFonts w:hint="eastAsia" w:ascii="仿宋_GB2312" w:hAnsi="宋体" w:eastAsia="仿宋_GB2312" w:cstheme="minorBidi"/>
          <w:b w:val="0"/>
          <w:bCs w:val="0"/>
          <w:color w:val="auto"/>
          <w:spacing w:val="-4"/>
          <w:kern w:val="2"/>
          <w:sz w:val="28"/>
          <w:szCs w:val="28"/>
          <w:lang w:val="en-US" w:eastAsia="zh-CN" w:bidi="ar-SA"/>
        </w:rPr>
      </w:pPr>
      <w:r>
        <w:rPr>
          <w:rStyle w:val="18"/>
          <w:rFonts w:hint="eastAsia" w:ascii="仿宋_GB2312" w:hAnsi="宋体" w:eastAsia="仿宋_GB2312" w:cstheme="minorBidi"/>
          <w:b w:val="0"/>
          <w:bCs w:val="0"/>
          <w:color w:val="auto"/>
          <w:spacing w:val="-4"/>
          <w:kern w:val="2"/>
          <w:sz w:val="28"/>
          <w:szCs w:val="28"/>
          <w:lang w:val="en-US" w:eastAsia="zh-CN" w:bidi="ar-SA"/>
        </w:rPr>
        <w:t>3、加强学习。进一步明确如何参照考核体系，科学合理设定绩效目标，充分发挥预算绩效管理工作效用。</w:t>
      </w:r>
    </w:p>
    <w:p>
      <w:pPr>
        <w:pStyle w:val="14"/>
        <w:widowControl/>
        <w:spacing w:before="40" w:beforeAutospacing="0" w:after="0" w:afterAutospacing="0" w:line="520" w:lineRule="atLeast"/>
        <w:ind w:firstLine="544" w:firstLineChars="200"/>
        <w:jc w:val="both"/>
        <w:rPr>
          <w:rStyle w:val="18"/>
          <w:rFonts w:hint="eastAsia" w:ascii="仿宋_GB2312" w:hAnsi="宋体" w:eastAsia="仿宋_GB2312" w:cstheme="minorBidi"/>
          <w:b w:val="0"/>
          <w:bCs w:val="0"/>
          <w:color w:val="auto"/>
          <w:spacing w:val="-4"/>
          <w:kern w:val="2"/>
          <w:sz w:val="28"/>
          <w:szCs w:val="28"/>
          <w:lang w:val="en-US" w:eastAsia="zh-CN" w:bidi="ar-SA"/>
        </w:rPr>
      </w:pPr>
      <w:r>
        <w:rPr>
          <w:rStyle w:val="18"/>
          <w:rFonts w:hint="eastAsia" w:ascii="仿宋_GB2312" w:hAnsi="宋体" w:eastAsia="仿宋_GB2312" w:cstheme="minorBidi"/>
          <w:b w:val="0"/>
          <w:bCs w:val="0"/>
          <w:color w:val="auto"/>
          <w:spacing w:val="-4"/>
          <w:kern w:val="2"/>
          <w:sz w:val="28"/>
          <w:szCs w:val="28"/>
          <w:lang w:val="en-US" w:eastAsia="zh-CN" w:bidi="ar-SA"/>
        </w:rPr>
        <w:t>4、财务上，会计核算要更加详细，为本单位各项工作的开展、总结、评估提供有效数据资料支撑,为各项业务工作更好的开展提供帮助。</w:t>
      </w:r>
    </w:p>
    <w:p>
      <w:pPr>
        <w:pStyle w:val="14"/>
        <w:widowControl/>
        <w:spacing w:before="40" w:beforeAutospacing="0" w:after="0" w:afterAutospacing="0" w:line="520" w:lineRule="atLeast"/>
        <w:ind w:firstLine="544" w:firstLineChars="200"/>
        <w:jc w:val="both"/>
        <w:rPr>
          <w:rStyle w:val="18"/>
          <w:rFonts w:hint="eastAsia" w:ascii="仿宋_GB2312" w:hAnsi="宋体" w:eastAsia="仿宋_GB2312" w:cstheme="minorBidi"/>
          <w:b w:val="0"/>
          <w:bCs w:val="0"/>
          <w:color w:val="auto"/>
          <w:spacing w:val="-4"/>
          <w:kern w:val="2"/>
          <w:sz w:val="28"/>
          <w:szCs w:val="28"/>
          <w:lang w:val="en-US" w:eastAsia="zh-CN" w:bidi="ar-SA"/>
        </w:rPr>
      </w:pPr>
      <w:r>
        <w:rPr>
          <w:rStyle w:val="18"/>
          <w:rFonts w:hint="eastAsia" w:ascii="仿宋_GB2312" w:hAnsi="宋体" w:eastAsia="仿宋_GB2312" w:cstheme="minorBidi"/>
          <w:b w:val="0"/>
          <w:bCs w:val="0"/>
          <w:color w:val="auto"/>
          <w:spacing w:val="-4"/>
          <w:kern w:val="2"/>
          <w:sz w:val="28"/>
          <w:szCs w:val="28"/>
          <w:lang w:val="en-US" w:eastAsia="zh-CN" w:bidi="ar-SA"/>
        </w:rPr>
        <w:t>5、从源头上强化对专项资金预算管理。实行专项资金预算管理，结合单位实际, 按轻重缓急统筹安排编制预算,提高预算编制科学性和合理性,优化资金结构。</w:t>
      </w:r>
    </w:p>
    <w:p>
      <w:pPr>
        <w:pStyle w:val="14"/>
        <w:widowControl/>
        <w:spacing w:before="40" w:beforeAutospacing="0" w:after="0" w:afterAutospacing="0" w:line="520" w:lineRule="atLeast"/>
        <w:ind w:firstLine="544" w:firstLineChars="200"/>
        <w:jc w:val="both"/>
        <w:rPr>
          <w:rStyle w:val="18"/>
          <w:rFonts w:hint="eastAsia" w:ascii="仿宋_GB2312" w:hAnsi="宋体" w:eastAsia="仿宋_GB2312" w:cstheme="minorBidi"/>
          <w:b w:val="0"/>
          <w:bCs w:val="0"/>
          <w:color w:val="auto"/>
          <w:spacing w:val="-4"/>
          <w:kern w:val="2"/>
          <w:sz w:val="28"/>
          <w:szCs w:val="28"/>
          <w:lang w:val="en-US" w:eastAsia="zh-CN" w:bidi="ar-SA"/>
        </w:rPr>
      </w:pPr>
      <w:r>
        <w:rPr>
          <w:rStyle w:val="18"/>
          <w:rFonts w:hint="eastAsia" w:ascii="仿宋_GB2312" w:hAnsi="宋体" w:eastAsia="仿宋_GB2312" w:cstheme="minorBidi"/>
          <w:b w:val="0"/>
          <w:bCs w:val="0"/>
          <w:color w:val="auto"/>
          <w:spacing w:val="-4"/>
          <w:kern w:val="2"/>
          <w:sz w:val="28"/>
          <w:szCs w:val="28"/>
          <w:lang w:val="en-US" w:eastAsia="zh-CN" w:bidi="ar-SA"/>
        </w:rPr>
        <w:t>6、按时间进度分解资金使用计划。专项资金的使用，要事前做计划，事中进行控制，事后总结提高。合理安排资金使用,充分体现资金投向的目标和效益。</w:t>
      </w:r>
    </w:p>
    <w:p>
      <w:pPr>
        <w:pStyle w:val="4"/>
        <w:spacing w:line="360" w:lineRule="auto"/>
        <w:rPr>
          <w:rFonts w:hint="eastAsia" w:ascii="仿宋_GB2312" w:hAnsi="仿宋_GB2312" w:eastAsia="仿宋_GB2312" w:cs="仿宋_GB2312"/>
          <w:b/>
          <w:bCs/>
          <w:sz w:val="32"/>
          <w:szCs w:val="32"/>
          <w:highlight w:val="none"/>
        </w:rPr>
      </w:pPr>
      <w:bookmarkStart w:id="33" w:name="_Toc70450320"/>
      <w:r>
        <w:rPr>
          <w:rStyle w:val="18"/>
          <w:rFonts w:hint="eastAsia" w:ascii="仿宋" w:hAnsi="仿宋" w:eastAsia="仿宋"/>
          <w:b/>
          <w:bCs/>
          <w:highlight w:val="none"/>
        </w:rPr>
        <w:t>（二）建议</w:t>
      </w:r>
      <w:bookmarkEnd w:id="33"/>
    </w:p>
    <w:p>
      <w:pPr>
        <w:pStyle w:val="14"/>
        <w:widowControl/>
        <w:spacing w:before="40" w:beforeAutospacing="0" w:after="0" w:afterAutospacing="0" w:line="520" w:lineRule="atLeast"/>
        <w:ind w:firstLine="544" w:firstLineChars="200"/>
        <w:jc w:val="both"/>
        <w:rPr>
          <w:rStyle w:val="18"/>
          <w:rFonts w:hint="eastAsia" w:ascii="仿宋_GB2312" w:hAnsi="宋体" w:eastAsia="仿宋_GB2312" w:cstheme="minorBidi"/>
          <w:b w:val="0"/>
          <w:bCs w:val="0"/>
          <w:color w:val="auto"/>
          <w:spacing w:val="-4"/>
          <w:kern w:val="2"/>
          <w:sz w:val="28"/>
          <w:szCs w:val="28"/>
          <w:lang w:val="en-US" w:eastAsia="zh-CN" w:bidi="ar-SA"/>
        </w:rPr>
      </w:pPr>
      <w:r>
        <w:rPr>
          <w:rStyle w:val="18"/>
          <w:rFonts w:hint="eastAsia" w:ascii="仿宋_GB2312" w:hAnsi="宋体" w:eastAsia="仿宋_GB2312" w:cstheme="minorBidi"/>
          <w:b w:val="0"/>
          <w:bCs w:val="0"/>
          <w:color w:val="auto"/>
          <w:spacing w:val="-4"/>
          <w:kern w:val="2"/>
          <w:sz w:val="28"/>
          <w:szCs w:val="28"/>
          <w:lang w:val="en-US" w:eastAsia="zh-CN" w:bidi="ar-SA"/>
        </w:rPr>
        <w:t>财政部门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spacing w:line="360" w:lineRule="auto"/>
      </w:pPr>
    </w:p>
    <w:p>
      <w:pPr>
        <w:pStyle w:val="7"/>
        <w:numPr>
          <w:ilvl w:val="0"/>
          <w:numId w:val="4"/>
        </w:numPr>
        <w:spacing w:line="360" w:lineRule="auto"/>
        <w:ind w:left="0" w:leftChars="0" w:firstLine="0" w:firstLineChars="0"/>
        <w:rPr>
          <w:rStyle w:val="18"/>
          <w:rFonts w:hint="eastAsia" w:ascii="仿宋" w:hAnsi="仿宋" w:eastAsia="仿宋"/>
          <w:b/>
          <w:bCs/>
          <w:sz w:val="36"/>
          <w:szCs w:val="36"/>
          <w:highlight w:val="none"/>
        </w:rPr>
      </w:pPr>
      <w:bookmarkStart w:id="34" w:name="_Toc70450321"/>
      <w:r>
        <w:rPr>
          <w:rStyle w:val="18"/>
          <w:rFonts w:hint="eastAsia" w:ascii="仿宋" w:hAnsi="仿宋" w:eastAsia="仿宋"/>
          <w:b/>
          <w:bCs/>
          <w:sz w:val="36"/>
          <w:szCs w:val="36"/>
          <w:highlight w:val="none"/>
        </w:rPr>
        <w:t>附表</w:t>
      </w:r>
      <w:r>
        <w:rPr>
          <w:rStyle w:val="18"/>
          <w:rFonts w:hint="eastAsia" w:ascii="仿宋" w:hAnsi="仿宋" w:eastAsia="仿宋"/>
          <w:b w:val="0"/>
          <w:bCs w:val="0"/>
          <w:spacing w:val="-4"/>
          <w:sz w:val="36"/>
          <w:szCs w:val="36"/>
          <w:highlight w:val="none"/>
        </w:rPr>
        <w:t>：</w:t>
      </w:r>
      <w:bookmarkStart w:id="35" w:name="_Hlk70450148"/>
      <w:r>
        <w:rPr>
          <w:rStyle w:val="18"/>
          <w:rFonts w:hint="eastAsia" w:ascii="仿宋" w:hAnsi="仿宋" w:eastAsia="仿宋"/>
          <w:b/>
          <w:bCs/>
          <w:sz w:val="36"/>
          <w:szCs w:val="36"/>
          <w:highlight w:val="none"/>
        </w:rPr>
        <w:t>《部门整体支出绩效目标自评表》</w:t>
      </w:r>
      <w:bookmarkEnd w:id="34"/>
      <w:bookmarkEnd w:id="35"/>
    </w:p>
    <w:p>
      <w:pPr>
        <w:numPr>
          <w:ilvl w:val="0"/>
          <w:numId w:val="0"/>
        </w:numPr>
        <w:ind w:leftChars="0"/>
      </w:pPr>
      <w:r>
        <w:drawing>
          <wp:inline distT="0" distB="0" distL="114300" distR="114300">
            <wp:extent cx="5177155" cy="7764780"/>
            <wp:effectExtent l="0" t="0" r="444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177155" cy="7764780"/>
                    </a:xfrm>
                    <a:prstGeom prst="rect">
                      <a:avLst/>
                    </a:prstGeom>
                    <a:noFill/>
                    <a:ln>
                      <a:noFill/>
                    </a:ln>
                  </pic:spPr>
                </pic:pic>
              </a:graphicData>
            </a:graphic>
          </wp:inline>
        </w:drawing>
      </w:r>
    </w:p>
    <w:p>
      <w:pPr>
        <w:pStyle w:val="2"/>
        <w:numPr>
          <w:ilvl w:val="2"/>
          <w:numId w:val="0"/>
        </w:numPr>
        <w:ind w:leftChars="0"/>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9"/>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21 -</w:t>
        </w:r>
        <w:r>
          <w:rPr>
            <w:rFonts w:asciiTheme="minorEastAsia" w:hAnsiTheme="minorEastAsia"/>
            <w:sz w:val="28"/>
            <w:szCs w:val="28"/>
          </w:rPr>
          <w:fldChar w:fldCharType="end"/>
        </w:r>
      </w:p>
    </w:sdtContent>
  </w:sdt>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D"/>
    <w:multiLevelType w:val="multilevel"/>
    <w:tmpl w:val="0000000D"/>
    <w:lvl w:ilvl="0" w:tentative="0">
      <w:start w:val="1"/>
      <w:numFmt w:val="decimal"/>
      <w:lvlText w:val="%1"/>
      <w:lvlJc w:val="left"/>
      <w:pPr>
        <w:tabs>
          <w:tab w:val="left" w:pos="425"/>
        </w:tabs>
        <w:ind w:left="425" w:hanging="425"/>
      </w:pPr>
      <w:rPr>
        <w:rFonts w:ascii="Times New Roman" w:hAnsi="Times New Roman" w:eastAsia="Times New Roman" w:cs="Times New Roman"/>
      </w:rPr>
    </w:lvl>
    <w:lvl w:ilvl="1" w:tentative="0">
      <w:start w:val="1"/>
      <w:numFmt w:val="decimal"/>
      <w:lvlText w:val="%1.%2"/>
      <w:lvlJc w:val="left"/>
      <w:pPr>
        <w:tabs>
          <w:tab w:val="left" w:pos="3240"/>
        </w:tabs>
        <w:ind w:left="3240" w:firstLine="0"/>
      </w:pPr>
      <w:rPr>
        <w:rFonts w:hint="eastAsia" w:ascii="Times New Roman" w:hAnsi="Times New Roman" w:cs="Times New Roman"/>
        <w:b w:val="0"/>
        <w:bCs w:val="0"/>
        <w:i w:val="0"/>
        <w:iCs w:val="0"/>
        <w:caps w:val="0"/>
        <w:smallCaps w:val="0"/>
        <w:strike w:val="0"/>
        <w:dstrike w:val="0"/>
        <w:vanish w:val="0"/>
        <w:spacing w:val="0"/>
        <w:position w:val="0"/>
        <w:u w:val="none"/>
        <w:vertAlign w:val="baseline"/>
      </w:rPr>
    </w:lvl>
    <w:lvl w:ilvl="2" w:tentative="0">
      <w:start w:val="1"/>
      <w:numFmt w:val="decimal"/>
      <w:pStyle w:val="3"/>
      <w:lvlText w:val="%1.%2.%3"/>
      <w:lvlJc w:val="left"/>
      <w:pPr>
        <w:tabs>
          <w:tab w:val="left" w:pos="0"/>
        </w:tabs>
        <w:ind w:left="0" w:firstLine="0"/>
      </w:pPr>
      <w:rPr>
        <w:rFonts w:hint="default" w:ascii="Times New Roman" w:hAnsi="Times New Roman" w:cs="Times New Roman"/>
      </w:rPr>
    </w:lvl>
    <w:lvl w:ilvl="3" w:tentative="0">
      <w:start w:val="1"/>
      <w:numFmt w:val="decimal"/>
      <w:lvlText w:val="%3%1.%2..%4"/>
      <w:lvlJc w:val="left"/>
      <w:pPr>
        <w:tabs>
          <w:tab w:val="left" w:pos="2356"/>
        </w:tabs>
        <w:ind w:left="1984" w:hanging="708"/>
      </w:pPr>
      <w:rPr>
        <w:rFonts w:hint="eastAsia"/>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922"/>
        </w:tabs>
        <w:ind w:left="5102" w:hanging="1700"/>
      </w:pPr>
      <w:rPr>
        <w:rFonts w:hint="eastAsia"/>
      </w:rPr>
    </w:lvl>
  </w:abstractNum>
  <w:abstractNum w:abstractNumId="1">
    <w:nsid w:val="1525AC93"/>
    <w:multiLevelType w:val="singleLevel"/>
    <w:tmpl w:val="1525AC93"/>
    <w:lvl w:ilvl="0" w:tentative="0">
      <w:start w:val="1"/>
      <w:numFmt w:val="decimal"/>
      <w:suff w:val="nothing"/>
      <w:lvlText w:val="%1、"/>
      <w:lvlJc w:val="left"/>
    </w:lvl>
  </w:abstractNum>
  <w:abstractNum w:abstractNumId="2">
    <w:nsid w:val="37B966C7"/>
    <w:multiLevelType w:val="multilevel"/>
    <w:tmpl w:val="37B966C7"/>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3">
    <w:nsid w:val="37DB8444"/>
    <w:multiLevelType w:val="singleLevel"/>
    <w:tmpl w:val="37DB8444"/>
    <w:lvl w:ilvl="0" w:tentative="0">
      <w:start w:val="1"/>
      <w:numFmt w:val="chineseCounting"/>
      <w:suff w:val="nothing"/>
      <w:lvlText w:val="（%1）"/>
      <w:lvlJc w:val="left"/>
      <w:rPr>
        <w:rFonts w:hint="eastAsia"/>
      </w:rPr>
    </w:lvl>
  </w:abstractNum>
  <w:abstractNum w:abstractNumId="4">
    <w:nsid w:val="47BA7CD0"/>
    <w:multiLevelType w:val="singleLevel"/>
    <w:tmpl w:val="47BA7CD0"/>
    <w:lvl w:ilvl="0" w:tentative="0">
      <w:start w:val="7"/>
      <w:numFmt w:val="chineseCounting"/>
      <w:suff w:val="nothing"/>
      <w:lvlText w:val="%1、"/>
      <w:lvlJc w:val="left"/>
      <w:rPr>
        <w:rFonts w:hint="eastAsia"/>
      </w:rPr>
    </w:lvl>
  </w:abstractNum>
  <w:abstractNum w:abstractNumId="5">
    <w:nsid w:val="625115BB"/>
    <w:multiLevelType w:val="multilevel"/>
    <w:tmpl w:val="625115BB"/>
    <w:lvl w:ilvl="0" w:tentative="0">
      <w:start w:val="1"/>
      <w:numFmt w:val="decimalEnclosedCircle"/>
      <w:lvlText w:val="%1"/>
      <w:lvlJc w:val="left"/>
      <w:pPr>
        <w:ind w:left="904" w:hanging="360"/>
      </w:pPr>
      <w:rPr>
        <w:rFonts w:hint="default"/>
        <w:color w:val="auto"/>
      </w:rPr>
    </w:lvl>
    <w:lvl w:ilvl="1" w:tentative="0">
      <w:start w:val="1"/>
      <w:numFmt w:val="lowerLetter"/>
      <w:lvlText w:val="%2)"/>
      <w:lvlJc w:val="left"/>
      <w:pPr>
        <w:ind w:left="1384" w:hanging="420"/>
      </w:pPr>
    </w:lvl>
    <w:lvl w:ilvl="2" w:tentative="0">
      <w:start w:val="1"/>
      <w:numFmt w:val="lowerRoman"/>
      <w:lvlText w:val="%3."/>
      <w:lvlJc w:val="right"/>
      <w:pPr>
        <w:ind w:left="1804" w:hanging="420"/>
      </w:pPr>
    </w:lvl>
    <w:lvl w:ilvl="3" w:tentative="0">
      <w:start w:val="1"/>
      <w:numFmt w:val="decimal"/>
      <w:lvlText w:val="%4."/>
      <w:lvlJc w:val="left"/>
      <w:pPr>
        <w:ind w:left="2224" w:hanging="420"/>
      </w:pPr>
    </w:lvl>
    <w:lvl w:ilvl="4" w:tentative="0">
      <w:start w:val="1"/>
      <w:numFmt w:val="lowerLetter"/>
      <w:lvlText w:val="%5)"/>
      <w:lvlJc w:val="left"/>
      <w:pPr>
        <w:ind w:left="2644" w:hanging="420"/>
      </w:pPr>
    </w:lvl>
    <w:lvl w:ilvl="5" w:tentative="0">
      <w:start w:val="1"/>
      <w:numFmt w:val="lowerRoman"/>
      <w:lvlText w:val="%6."/>
      <w:lvlJc w:val="right"/>
      <w:pPr>
        <w:ind w:left="3064" w:hanging="420"/>
      </w:pPr>
    </w:lvl>
    <w:lvl w:ilvl="6" w:tentative="0">
      <w:start w:val="1"/>
      <w:numFmt w:val="decimal"/>
      <w:lvlText w:val="%7."/>
      <w:lvlJc w:val="left"/>
      <w:pPr>
        <w:ind w:left="3484" w:hanging="420"/>
      </w:pPr>
    </w:lvl>
    <w:lvl w:ilvl="7" w:tentative="0">
      <w:start w:val="1"/>
      <w:numFmt w:val="lowerLetter"/>
      <w:lvlText w:val="%8)"/>
      <w:lvlJc w:val="left"/>
      <w:pPr>
        <w:ind w:left="3904" w:hanging="420"/>
      </w:pPr>
    </w:lvl>
    <w:lvl w:ilvl="8" w:tentative="0">
      <w:start w:val="1"/>
      <w:numFmt w:val="lowerRoman"/>
      <w:lvlText w:val="%9."/>
      <w:lvlJc w:val="right"/>
      <w:pPr>
        <w:ind w:left="4324" w:hanging="420"/>
      </w:pPr>
    </w:lvl>
  </w:abstractNum>
  <w:num w:numId="1">
    <w:abstractNumId w:val="0"/>
  </w:num>
  <w:num w:numId="2">
    <w:abstractNumId w:val="2"/>
  </w:num>
  <w:num w:numId="3">
    <w:abstractNumId w:val="5"/>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DZlYmI5MDk0MTg0NGQ5YjU3MzZhZWMwZGE3NjIifQ=="/>
  </w:docVars>
  <w:rsids>
    <w:rsidRoot w:val="00172A27"/>
    <w:rsid w:val="00025A44"/>
    <w:rsid w:val="00072084"/>
    <w:rsid w:val="0009422A"/>
    <w:rsid w:val="000B2783"/>
    <w:rsid w:val="000B6B13"/>
    <w:rsid w:val="000C6D79"/>
    <w:rsid w:val="000D1DEE"/>
    <w:rsid w:val="000D3AFA"/>
    <w:rsid w:val="00105D60"/>
    <w:rsid w:val="001121F2"/>
    <w:rsid w:val="00112859"/>
    <w:rsid w:val="001173EB"/>
    <w:rsid w:val="00150C4C"/>
    <w:rsid w:val="00180A25"/>
    <w:rsid w:val="00191BA3"/>
    <w:rsid w:val="001A2299"/>
    <w:rsid w:val="001A3A0E"/>
    <w:rsid w:val="001E046B"/>
    <w:rsid w:val="001F630E"/>
    <w:rsid w:val="0022744B"/>
    <w:rsid w:val="00234372"/>
    <w:rsid w:val="00234B37"/>
    <w:rsid w:val="00246941"/>
    <w:rsid w:val="002764C7"/>
    <w:rsid w:val="002B263F"/>
    <w:rsid w:val="002D075E"/>
    <w:rsid w:val="00303A08"/>
    <w:rsid w:val="003226C4"/>
    <w:rsid w:val="003E091C"/>
    <w:rsid w:val="003E3DEF"/>
    <w:rsid w:val="003E53FC"/>
    <w:rsid w:val="003E7C70"/>
    <w:rsid w:val="00436E82"/>
    <w:rsid w:val="00481888"/>
    <w:rsid w:val="0049337C"/>
    <w:rsid w:val="004C2FFE"/>
    <w:rsid w:val="004C4C4D"/>
    <w:rsid w:val="004C6FF3"/>
    <w:rsid w:val="004E69F5"/>
    <w:rsid w:val="004E7AAC"/>
    <w:rsid w:val="00513143"/>
    <w:rsid w:val="00531A31"/>
    <w:rsid w:val="00533C6C"/>
    <w:rsid w:val="0055000F"/>
    <w:rsid w:val="0056682E"/>
    <w:rsid w:val="00593943"/>
    <w:rsid w:val="005A08A8"/>
    <w:rsid w:val="005B1250"/>
    <w:rsid w:val="005C33CE"/>
    <w:rsid w:val="006225D7"/>
    <w:rsid w:val="00631A9D"/>
    <w:rsid w:val="00633862"/>
    <w:rsid w:val="006379B7"/>
    <w:rsid w:val="006413B6"/>
    <w:rsid w:val="006910A7"/>
    <w:rsid w:val="00691310"/>
    <w:rsid w:val="006A7181"/>
    <w:rsid w:val="006C5BED"/>
    <w:rsid w:val="006D3947"/>
    <w:rsid w:val="006D3BF7"/>
    <w:rsid w:val="00702D4A"/>
    <w:rsid w:val="007115C8"/>
    <w:rsid w:val="00713ADC"/>
    <w:rsid w:val="00725B9A"/>
    <w:rsid w:val="00754721"/>
    <w:rsid w:val="007713F8"/>
    <w:rsid w:val="00774388"/>
    <w:rsid w:val="007A7491"/>
    <w:rsid w:val="007A7874"/>
    <w:rsid w:val="007E716C"/>
    <w:rsid w:val="00800784"/>
    <w:rsid w:val="00817432"/>
    <w:rsid w:val="00831E96"/>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0862"/>
    <w:rsid w:val="00AD16CD"/>
    <w:rsid w:val="00AD6E1C"/>
    <w:rsid w:val="00AF42EB"/>
    <w:rsid w:val="00B130FE"/>
    <w:rsid w:val="00B16BA8"/>
    <w:rsid w:val="00B34A48"/>
    <w:rsid w:val="00B407C3"/>
    <w:rsid w:val="00B666A1"/>
    <w:rsid w:val="00BA1454"/>
    <w:rsid w:val="00C1071E"/>
    <w:rsid w:val="00C42609"/>
    <w:rsid w:val="00C4673D"/>
    <w:rsid w:val="00C76454"/>
    <w:rsid w:val="00C81F75"/>
    <w:rsid w:val="00CB1C9D"/>
    <w:rsid w:val="00CC7606"/>
    <w:rsid w:val="00CD2F35"/>
    <w:rsid w:val="00CE16E7"/>
    <w:rsid w:val="00CE2B2D"/>
    <w:rsid w:val="00CE61DB"/>
    <w:rsid w:val="00D238AC"/>
    <w:rsid w:val="00D26F3D"/>
    <w:rsid w:val="00D278CF"/>
    <w:rsid w:val="00D64FAF"/>
    <w:rsid w:val="00D77626"/>
    <w:rsid w:val="00D81EE2"/>
    <w:rsid w:val="00DA67B8"/>
    <w:rsid w:val="00DB1085"/>
    <w:rsid w:val="00DD223C"/>
    <w:rsid w:val="00E213C7"/>
    <w:rsid w:val="00E41A31"/>
    <w:rsid w:val="00E47199"/>
    <w:rsid w:val="00E7188B"/>
    <w:rsid w:val="00E901EA"/>
    <w:rsid w:val="00E91B4E"/>
    <w:rsid w:val="00E92DAD"/>
    <w:rsid w:val="00EB308E"/>
    <w:rsid w:val="00F006BD"/>
    <w:rsid w:val="00F01D13"/>
    <w:rsid w:val="00F17550"/>
    <w:rsid w:val="00F27120"/>
    <w:rsid w:val="00F341E0"/>
    <w:rsid w:val="00F36401"/>
    <w:rsid w:val="00F42445"/>
    <w:rsid w:val="00F44FCC"/>
    <w:rsid w:val="00F74974"/>
    <w:rsid w:val="00F829DE"/>
    <w:rsid w:val="00F84215"/>
    <w:rsid w:val="00F91CBB"/>
    <w:rsid w:val="077D0364"/>
    <w:rsid w:val="0B064E5F"/>
    <w:rsid w:val="0BCB4DEB"/>
    <w:rsid w:val="0E9A5E97"/>
    <w:rsid w:val="0ED016DA"/>
    <w:rsid w:val="11575DDC"/>
    <w:rsid w:val="1351449B"/>
    <w:rsid w:val="13533610"/>
    <w:rsid w:val="1D494D59"/>
    <w:rsid w:val="1D684576"/>
    <w:rsid w:val="1EB60E4D"/>
    <w:rsid w:val="1FF26EB8"/>
    <w:rsid w:val="241E6A95"/>
    <w:rsid w:val="298D7347"/>
    <w:rsid w:val="2A3D1993"/>
    <w:rsid w:val="2A7B4726"/>
    <w:rsid w:val="2A936BFA"/>
    <w:rsid w:val="35A6717D"/>
    <w:rsid w:val="404E4836"/>
    <w:rsid w:val="40EC271F"/>
    <w:rsid w:val="44CC450A"/>
    <w:rsid w:val="4AB06CBA"/>
    <w:rsid w:val="4B486E56"/>
    <w:rsid w:val="51E419E2"/>
    <w:rsid w:val="562C7C4F"/>
    <w:rsid w:val="567C6706"/>
    <w:rsid w:val="5777783D"/>
    <w:rsid w:val="5ABB571F"/>
    <w:rsid w:val="6826091D"/>
    <w:rsid w:val="6B86302A"/>
    <w:rsid w:val="70952446"/>
    <w:rsid w:val="714D4BF6"/>
    <w:rsid w:val="75D74E46"/>
    <w:rsid w:val="79B854A1"/>
    <w:rsid w:val="7C447B0D"/>
    <w:rsid w:val="7D0B2034"/>
    <w:rsid w:val="7D186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6">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7">
    <w:name w:val="heading 2"/>
    <w:basedOn w:val="1"/>
    <w:next w:val="1"/>
    <w:link w:val="2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6"/>
    <w:unhideWhenUsed/>
    <w:qFormat/>
    <w:uiPriority w:val="9"/>
    <w:pPr>
      <w:keepNext/>
      <w:keepLines/>
      <w:spacing w:before="260" w:after="260" w:line="416" w:lineRule="auto"/>
      <w:outlineLvl w:val="2"/>
    </w:pPr>
    <w:rPr>
      <w:b/>
      <w:bCs/>
      <w:sz w:val="32"/>
      <w:szCs w:val="32"/>
    </w:rPr>
  </w:style>
  <w:style w:type="paragraph" w:styleId="2">
    <w:name w:val="heading 4"/>
    <w:basedOn w:val="3"/>
    <w:next w:val="5"/>
    <w:link w:val="30"/>
    <w:unhideWhenUsed/>
    <w:qFormat/>
    <w:uiPriority w:val="9"/>
    <w:pPr>
      <w:keepNext/>
      <w:keepLines/>
      <w:tabs>
        <w:tab w:val="left" w:pos="0"/>
      </w:tabs>
      <w:spacing w:before="280" w:after="290" w:line="376" w:lineRule="auto"/>
      <w:outlineLvl w:val="3"/>
    </w:pPr>
    <w:rPr>
      <w:rFonts w:asciiTheme="majorHAnsi" w:hAnsiTheme="majorHAnsi" w:eastAsiaTheme="majorEastAsia" w:cstheme="majorBidi"/>
      <w:sz w:val="28"/>
      <w:szCs w:val="28"/>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customStyle="1" w:styleId="3">
    <w:name w:val="样式 标题 3 + 无下划线"/>
    <w:basedOn w:val="4"/>
    <w:qFormat/>
    <w:uiPriority w:val="0"/>
    <w:pPr>
      <w:keepNext w:val="0"/>
      <w:keepLines w:val="0"/>
      <w:numPr>
        <w:ilvl w:val="2"/>
        <w:numId w:val="1"/>
      </w:numPr>
      <w:kinsoku w:val="0"/>
    </w:pPr>
    <w:rPr>
      <w:snapToGrid w:val="0"/>
      <w:color w:val="000000"/>
      <w:sz w:val="28"/>
      <w:szCs w:val="28"/>
    </w:rPr>
  </w:style>
  <w:style w:type="paragraph" w:customStyle="1" w:styleId="5">
    <w:name w:val="样式 标题 4 + 左侧:  0 厘米 首行缩进:  0 厘米"/>
    <w:basedOn w:val="2"/>
    <w:qFormat/>
    <w:uiPriority w:val="0"/>
    <w:rPr>
      <w:rFonts w:cs="宋体"/>
      <w:szCs w:val="20"/>
    </w:rPr>
  </w:style>
  <w:style w:type="paragraph" w:styleId="8">
    <w:name w:val="toc 3"/>
    <w:basedOn w:val="1"/>
    <w:next w:val="1"/>
    <w:unhideWhenUsed/>
    <w:qFormat/>
    <w:uiPriority w:val="39"/>
    <w:pPr>
      <w:ind w:left="840" w:leftChars="400"/>
    </w:pPr>
  </w:style>
  <w:style w:type="paragraph" w:styleId="9">
    <w:name w:val="footer"/>
    <w:basedOn w:val="1"/>
    <w:link w:val="21"/>
    <w:unhideWhenUsed/>
    <w:qFormat/>
    <w:uiPriority w:val="99"/>
    <w:pPr>
      <w:tabs>
        <w:tab w:val="center" w:pos="4153"/>
        <w:tab w:val="right" w:pos="8306"/>
      </w:tabs>
      <w:snapToGrid w:val="0"/>
      <w:jc w:val="left"/>
    </w:pPr>
    <w:rPr>
      <w:sz w:val="18"/>
      <w:szCs w:val="18"/>
    </w:rPr>
  </w:style>
  <w:style w:type="paragraph" w:styleId="10">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4"/>
    <w:basedOn w:val="1"/>
    <w:next w:val="1"/>
    <w:unhideWhenUsed/>
    <w:qFormat/>
    <w:uiPriority w:val="39"/>
    <w:pPr>
      <w:ind w:left="1260" w:leftChars="600"/>
    </w:pPr>
  </w:style>
  <w:style w:type="paragraph" w:styleId="12">
    <w:name w:val="Subtitle"/>
    <w:basedOn w:val="1"/>
    <w:next w:val="1"/>
    <w:link w:val="25"/>
    <w:qFormat/>
    <w:uiPriority w:val="11"/>
    <w:pPr>
      <w:spacing w:before="240" w:after="60" w:line="312" w:lineRule="auto"/>
      <w:jc w:val="center"/>
      <w:outlineLvl w:val="1"/>
    </w:pPr>
    <w:rPr>
      <w:b/>
      <w:bCs/>
      <w:kern w:val="28"/>
      <w:sz w:val="32"/>
      <w:szCs w:val="32"/>
    </w:rPr>
  </w:style>
  <w:style w:type="paragraph" w:styleId="13">
    <w:name w:val="toc 2"/>
    <w:basedOn w:val="1"/>
    <w:next w:val="1"/>
    <w:unhideWhenUsed/>
    <w:qFormat/>
    <w:uiPriority w:val="39"/>
    <w:pPr>
      <w:ind w:left="420" w:leftChars="200"/>
    </w:pPr>
  </w:style>
  <w:style w:type="paragraph" w:styleId="14">
    <w:name w:val="Normal (Web)"/>
    <w:basedOn w:val="1"/>
    <w:qFormat/>
    <w:uiPriority w:val="99"/>
    <w:pPr>
      <w:spacing w:before="100" w:beforeAutospacing="1" w:after="100" w:afterAutospacing="1"/>
      <w:jc w:val="left"/>
    </w:pPr>
    <w:rPr>
      <w:rFonts w:ascii="Calibri" w:hAnsi="Calibri" w:eastAsia="宋体" w:cs="Times New Roman"/>
      <w:color w:val="000000"/>
      <w:kern w:val="0"/>
      <w:sz w:val="24"/>
    </w:rPr>
  </w:style>
  <w:style w:type="paragraph" w:styleId="15">
    <w:name w:val="Title"/>
    <w:basedOn w:val="1"/>
    <w:next w:val="1"/>
    <w:link w:val="23"/>
    <w:qFormat/>
    <w:uiPriority w:val="10"/>
    <w:pPr>
      <w:spacing w:before="240" w:after="60"/>
      <w:jc w:val="center"/>
      <w:outlineLvl w:val="0"/>
    </w:pPr>
    <w:rPr>
      <w:rFonts w:asciiTheme="majorHAnsi" w:hAnsiTheme="majorHAnsi" w:eastAsiaTheme="majorEastAsia" w:cstheme="majorBidi"/>
      <w:b/>
      <w:bCs/>
      <w:sz w:val="32"/>
      <w:szCs w:val="32"/>
    </w:rPr>
  </w:style>
  <w:style w:type="character" w:styleId="18">
    <w:name w:val="Strong"/>
    <w:basedOn w:val="17"/>
    <w:qFormat/>
    <w:uiPriority w:val="0"/>
    <w:rPr>
      <w:b/>
      <w:bCs/>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character" w:customStyle="1" w:styleId="20">
    <w:name w:val="页眉 Char"/>
    <w:basedOn w:val="17"/>
    <w:link w:val="10"/>
    <w:qFormat/>
    <w:uiPriority w:val="99"/>
    <w:rPr>
      <w:sz w:val="18"/>
      <w:szCs w:val="18"/>
    </w:rPr>
  </w:style>
  <w:style w:type="character" w:customStyle="1" w:styleId="21">
    <w:name w:val="页脚 Char"/>
    <w:basedOn w:val="17"/>
    <w:link w:val="9"/>
    <w:qFormat/>
    <w:uiPriority w:val="99"/>
    <w:rPr>
      <w:sz w:val="18"/>
      <w:szCs w:val="18"/>
    </w:rPr>
  </w:style>
  <w:style w:type="paragraph" w:styleId="22">
    <w:name w:val="List Paragraph"/>
    <w:basedOn w:val="1"/>
    <w:unhideWhenUsed/>
    <w:qFormat/>
    <w:uiPriority w:val="99"/>
    <w:pPr>
      <w:ind w:firstLine="420" w:firstLineChars="200"/>
    </w:pPr>
  </w:style>
  <w:style w:type="character" w:customStyle="1" w:styleId="23">
    <w:name w:val="标题 Char"/>
    <w:basedOn w:val="17"/>
    <w:link w:val="15"/>
    <w:qFormat/>
    <w:uiPriority w:val="10"/>
    <w:rPr>
      <w:rFonts w:asciiTheme="majorHAnsi" w:hAnsiTheme="majorHAnsi" w:eastAsiaTheme="majorEastAsia" w:cstheme="majorBidi"/>
      <w:b/>
      <w:bCs/>
      <w:sz w:val="32"/>
      <w:szCs w:val="32"/>
    </w:rPr>
  </w:style>
  <w:style w:type="character" w:customStyle="1" w:styleId="24">
    <w:name w:val="标题 2 Char"/>
    <w:basedOn w:val="17"/>
    <w:link w:val="7"/>
    <w:qFormat/>
    <w:uiPriority w:val="9"/>
    <w:rPr>
      <w:rFonts w:asciiTheme="majorHAnsi" w:hAnsiTheme="majorHAnsi" w:eastAsiaTheme="majorEastAsia" w:cstheme="majorBidi"/>
      <w:b/>
      <w:bCs/>
      <w:sz w:val="32"/>
      <w:szCs w:val="32"/>
    </w:rPr>
  </w:style>
  <w:style w:type="character" w:customStyle="1" w:styleId="25">
    <w:name w:val="副标题 Char"/>
    <w:basedOn w:val="17"/>
    <w:link w:val="12"/>
    <w:qFormat/>
    <w:uiPriority w:val="11"/>
    <w:rPr>
      <w:b/>
      <w:bCs/>
      <w:kern w:val="28"/>
      <w:sz w:val="32"/>
      <w:szCs w:val="32"/>
    </w:rPr>
  </w:style>
  <w:style w:type="character" w:customStyle="1" w:styleId="26">
    <w:name w:val="标题 3 Char"/>
    <w:basedOn w:val="17"/>
    <w:link w:val="4"/>
    <w:qFormat/>
    <w:uiPriority w:val="9"/>
    <w:rPr>
      <w:b/>
      <w:bCs/>
      <w:sz w:val="32"/>
      <w:szCs w:val="32"/>
    </w:rPr>
  </w:style>
  <w:style w:type="character" w:styleId="27">
    <w:name w:val="Placeholder Text"/>
    <w:basedOn w:val="17"/>
    <w:semiHidden/>
    <w:qFormat/>
    <w:uiPriority w:val="99"/>
    <w:rPr>
      <w:color w:val="808080"/>
    </w:rPr>
  </w:style>
  <w:style w:type="character" w:customStyle="1" w:styleId="28">
    <w:name w:val="标题 1 Char"/>
    <w:basedOn w:val="17"/>
    <w:link w:val="6"/>
    <w:qFormat/>
    <w:uiPriority w:val="9"/>
    <w:rPr>
      <w:b/>
      <w:bCs/>
      <w:kern w:val="44"/>
      <w:sz w:val="44"/>
      <w:szCs w:val="44"/>
    </w:rPr>
  </w:style>
  <w:style w:type="paragraph" w:customStyle="1" w:styleId="29">
    <w:name w:val="TOC 标题1"/>
    <w:basedOn w:val="6"/>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30">
    <w:name w:val="标题 4 Char"/>
    <w:basedOn w:val="17"/>
    <w:link w:val="2"/>
    <w:qFormat/>
    <w:uiPriority w:val="9"/>
    <w:rPr>
      <w:rFonts w:asciiTheme="majorHAnsi" w:hAnsiTheme="majorHAnsi" w:eastAsiaTheme="majorEastAsia" w:cstheme="majorBidi"/>
      <w:b/>
      <w:bCs/>
      <w:sz w:val="28"/>
      <w:szCs w:val="28"/>
    </w:rPr>
  </w:style>
  <w:style w:type="paragraph" w:customStyle="1" w:styleId="31">
    <w:name w:val="闻政-正文段落文字"/>
    <w:basedOn w:val="1"/>
    <w:qFormat/>
    <w:uiPriority w:val="3"/>
    <w:pPr>
      <w:spacing w:line="500" w:lineRule="exact"/>
      <w:ind w:firstLine="200"/>
    </w:pPr>
    <w:rPr>
      <w:rFonts w:ascii="Times New Roman" w:hAnsi="Times New Roman" w:eastAsia="宋体" w:cs="Times New Roman"/>
      <w:color w:val="000000"/>
      <w:kern w:val="0"/>
      <w:szCs w:val="28"/>
    </w:rPr>
  </w:style>
  <w:style w:type="paragraph" w:customStyle="1" w:styleId="32">
    <w:name w:val="BodyText"/>
    <w:basedOn w:val="1"/>
    <w:qFormat/>
    <w:uiPriority w:val="0"/>
    <w:pPr>
      <w:spacing w:after="1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F5362-1243-4855-BE2E-22BDF25429B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28</Pages>
  <Words>12705</Words>
  <Characters>13498</Characters>
  <Lines>88</Lines>
  <Paragraphs>24</Paragraphs>
  <TotalTime>5</TotalTime>
  <ScaleCrop>false</ScaleCrop>
  <LinksUpToDate>false</LinksUpToDate>
  <CharactersWithSpaces>13558</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2022-04-28T07:09:00Z</dcterms:created>
  <dc:creator>jc</dc:creator>
  <cp:lastModifiedBy>A.X</cp:lastModifiedBy>
  <dcterms:modified xsi:type="dcterms:W3CDTF">2022-05-26T10:20:47Z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72EC800B24F443F088FB6E09330BD174</vt:lpwstr>
  </property>
</Properties>
</file>